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1E5F0" w14:textId="77777777" w:rsidR="004A7BE6" w:rsidRPr="00EA0EA9" w:rsidRDefault="004A7BE6" w:rsidP="00216FAF">
      <w:pPr>
        <w:jc w:val="both"/>
        <w:rPr>
          <w:rFonts w:asciiTheme="majorHAnsi" w:hAnsiTheme="majorHAnsi"/>
          <w:b/>
          <w:i/>
          <w:iCs/>
          <w:color w:val="5F5F5F"/>
          <w:sz w:val="52"/>
          <w:szCs w:val="52"/>
        </w:rPr>
      </w:pPr>
    </w:p>
    <w:p w14:paraId="051ED54C" w14:textId="77777777" w:rsidR="004A7BE6" w:rsidRPr="00EA0EA9" w:rsidRDefault="004A7BE6" w:rsidP="00216FAF">
      <w:pPr>
        <w:jc w:val="both"/>
        <w:rPr>
          <w:rFonts w:asciiTheme="majorHAnsi" w:hAnsiTheme="majorHAnsi"/>
          <w:b/>
          <w:i/>
          <w:iCs/>
          <w:color w:val="5F5F5F"/>
          <w:sz w:val="52"/>
          <w:szCs w:val="52"/>
        </w:rPr>
      </w:pPr>
    </w:p>
    <w:p w14:paraId="0AE9856D" w14:textId="77777777" w:rsidR="004A7BE6" w:rsidRPr="00EA0EA9" w:rsidRDefault="004A7BE6" w:rsidP="00216FAF">
      <w:pPr>
        <w:jc w:val="both"/>
        <w:rPr>
          <w:rFonts w:asciiTheme="majorHAnsi" w:hAnsiTheme="majorHAnsi"/>
          <w:b/>
          <w:i/>
          <w:iCs/>
          <w:color w:val="5F5F5F"/>
          <w:sz w:val="52"/>
          <w:szCs w:val="52"/>
        </w:rPr>
      </w:pPr>
    </w:p>
    <w:p w14:paraId="3BB05EA5" w14:textId="77777777" w:rsidR="004A7BE6" w:rsidRPr="00EA0EA9" w:rsidRDefault="004A7BE6" w:rsidP="00216FAF">
      <w:pPr>
        <w:jc w:val="both"/>
        <w:rPr>
          <w:rFonts w:asciiTheme="majorHAnsi" w:hAnsiTheme="majorHAnsi"/>
          <w:b/>
          <w:i/>
          <w:iCs/>
          <w:color w:val="5F5F5F"/>
          <w:sz w:val="52"/>
          <w:szCs w:val="52"/>
        </w:rPr>
      </w:pPr>
    </w:p>
    <w:p w14:paraId="782BB4AF" w14:textId="77777777" w:rsidR="004A7BE6" w:rsidRPr="00EA0EA9" w:rsidRDefault="004A7BE6" w:rsidP="00216FAF">
      <w:pPr>
        <w:jc w:val="both"/>
        <w:rPr>
          <w:rFonts w:asciiTheme="majorHAnsi" w:hAnsiTheme="majorHAnsi"/>
          <w:b/>
          <w:i/>
          <w:iCs/>
          <w:color w:val="5F5F5F"/>
          <w:sz w:val="52"/>
          <w:szCs w:val="52"/>
        </w:rPr>
      </w:pPr>
    </w:p>
    <w:p w14:paraId="3FBF881F" w14:textId="77777777" w:rsidR="004A7BE6" w:rsidRPr="00EA0EA9" w:rsidRDefault="004A7BE6" w:rsidP="00216FAF">
      <w:pPr>
        <w:jc w:val="both"/>
        <w:rPr>
          <w:rFonts w:asciiTheme="majorHAnsi" w:hAnsiTheme="majorHAnsi"/>
          <w:b/>
          <w:i/>
          <w:iCs/>
          <w:color w:val="5F5F5F"/>
          <w:sz w:val="52"/>
          <w:szCs w:val="52"/>
        </w:rPr>
      </w:pPr>
    </w:p>
    <w:p w14:paraId="31D5F27E" w14:textId="77777777" w:rsidR="004A7BE6" w:rsidRPr="00EA0EA9" w:rsidRDefault="004A7BE6" w:rsidP="00216FAF">
      <w:pPr>
        <w:jc w:val="center"/>
        <w:rPr>
          <w:rFonts w:asciiTheme="majorHAnsi" w:hAnsiTheme="majorHAnsi"/>
          <w:b/>
          <w:i/>
          <w:iCs/>
          <w:color w:val="CC0000"/>
          <w:sz w:val="52"/>
          <w:szCs w:val="52"/>
        </w:rPr>
      </w:pPr>
      <w:r w:rsidRPr="00EA0EA9">
        <w:rPr>
          <w:rFonts w:asciiTheme="majorHAnsi" w:hAnsiTheme="majorHAnsi"/>
          <w:b/>
          <w:i/>
          <w:iCs/>
          <w:color w:val="CC0000"/>
          <w:sz w:val="52"/>
          <w:szCs w:val="52"/>
        </w:rPr>
        <w:t>Global and National Goals for Every Child:</w:t>
      </w:r>
    </w:p>
    <w:p w14:paraId="77C48E75" w14:textId="77777777" w:rsidR="004A7BE6" w:rsidRPr="00EA0EA9" w:rsidRDefault="004A7BE6" w:rsidP="00216FAF">
      <w:pPr>
        <w:jc w:val="center"/>
        <w:rPr>
          <w:rFonts w:asciiTheme="majorHAnsi" w:hAnsiTheme="majorHAnsi"/>
          <w:b/>
          <w:color w:val="CC0000"/>
          <w:sz w:val="48"/>
          <w:szCs w:val="48"/>
        </w:rPr>
      </w:pPr>
      <w:r w:rsidRPr="00EA0EA9">
        <w:rPr>
          <w:rFonts w:asciiTheme="majorHAnsi" w:hAnsiTheme="majorHAnsi"/>
          <w:b/>
          <w:i/>
          <w:iCs/>
          <w:color w:val="CC0000"/>
          <w:sz w:val="48"/>
          <w:szCs w:val="48"/>
        </w:rPr>
        <w:t>Progress and Disparities among Children in South African Child Rights context</w:t>
      </w:r>
    </w:p>
    <w:p w14:paraId="4A9A11AB" w14:textId="77777777" w:rsidR="004A7BE6" w:rsidRPr="00EA0EA9" w:rsidRDefault="004A7BE6" w:rsidP="00216FAF">
      <w:pPr>
        <w:jc w:val="both"/>
        <w:rPr>
          <w:rFonts w:asciiTheme="majorHAnsi" w:hAnsiTheme="majorHAnsi"/>
          <w:b/>
        </w:rPr>
      </w:pPr>
    </w:p>
    <w:p w14:paraId="13A4AE02" w14:textId="77777777" w:rsidR="004A7BE6" w:rsidRPr="00EA0EA9" w:rsidRDefault="004A7BE6" w:rsidP="00216FAF">
      <w:pPr>
        <w:jc w:val="both"/>
        <w:rPr>
          <w:rFonts w:asciiTheme="majorHAnsi" w:hAnsiTheme="majorHAnsi"/>
          <w:b/>
        </w:rPr>
      </w:pPr>
    </w:p>
    <w:p w14:paraId="2FB430E2" w14:textId="77777777" w:rsidR="004A7BE6" w:rsidRPr="00EA0EA9" w:rsidRDefault="004A7BE6" w:rsidP="00216FAF">
      <w:pPr>
        <w:jc w:val="both"/>
        <w:rPr>
          <w:rFonts w:asciiTheme="majorHAnsi" w:hAnsiTheme="majorHAnsi"/>
          <w:b/>
        </w:rPr>
      </w:pPr>
    </w:p>
    <w:p w14:paraId="2EC423BF" w14:textId="77777777" w:rsidR="004A7BE6" w:rsidRPr="00EA0EA9" w:rsidRDefault="004A7BE6" w:rsidP="00216FAF">
      <w:pPr>
        <w:jc w:val="both"/>
        <w:rPr>
          <w:rFonts w:asciiTheme="majorHAnsi" w:hAnsiTheme="majorHAnsi"/>
          <w:b/>
        </w:rPr>
      </w:pPr>
    </w:p>
    <w:p w14:paraId="359C2177" w14:textId="77777777" w:rsidR="004A7BE6" w:rsidRPr="00EA0EA9" w:rsidRDefault="004A7BE6" w:rsidP="00216FAF">
      <w:pPr>
        <w:jc w:val="both"/>
        <w:rPr>
          <w:rFonts w:asciiTheme="majorHAnsi" w:hAnsiTheme="majorHAnsi"/>
          <w:b/>
        </w:rPr>
      </w:pPr>
    </w:p>
    <w:p w14:paraId="41BCAC38" w14:textId="77777777" w:rsidR="004A7BE6" w:rsidRPr="00EA0EA9" w:rsidRDefault="004A7BE6" w:rsidP="00216FAF">
      <w:pPr>
        <w:jc w:val="both"/>
        <w:rPr>
          <w:rFonts w:asciiTheme="majorHAnsi" w:hAnsiTheme="majorHAnsi"/>
          <w:b/>
        </w:rPr>
      </w:pPr>
    </w:p>
    <w:p w14:paraId="7E27BFF3" w14:textId="77777777" w:rsidR="004A7BE6" w:rsidRPr="00EA0EA9" w:rsidRDefault="004A7BE6" w:rsidP="00216FAF">
      <w:pPr>
        <w:jc w:val="both"/>
        <w:rPr>
          <w:rFonts w:asciiTheme="majorHAnsi" w:hAnsiTheme="majorHAnsi"/>
          <w:b/>
        </w:rPr>
      </w:pPr>
    </w:p>
    <w:p w14:paraId="55FBC4C9" w14:textId="77777777" w:rsidR="004A7BE6" w:rsidRPr="00EA0EA9" w:rsidRDefault="004A7BE6" w:rsidP="00216FAF">
      <w:pPr>
        <w:jc w:val="both"/>
        <w:rPr>
          <w:rFonts w:asciiTheme="majorHAnsi" w:hAnsiTheme="majorHAnsi"/>
          <w:b/>
        </w:rPr>
      </w:pPr>
    </w:p>
    <w:p w14:paraId="36B9486F" w14:textId="77777777" w:rsidR="004A7BE6" w:rsidRPr="00EA0EA9" w:rsidRDefault="004A7BE6" w:rsidP="00216FAF">
      <w:pPr>
        <w:jc w:val="both"/>
        <w:rPr>
          <w:rFonts w:asciiTheme="majorHAnsi" w:hAnsiTheme="majorHAnsi"/>
          <w:b/>
        </w:rPr>
      </w:pPr>
    </w:p>
    <w:p w14:paraId="7D1C9600" w14:textId="77777777" w:rsidR="004A7BE6" w:rsidRPr="00EA0EA9" w:rsidRDefault="004A7BE6" w:rsidP="00216FAF">
      <w:pPr>
        <w:jc w:val="both"/>
        <w:rPr>
          <w:rFonts w:asciiTheme="majorHAnsi" w:hAnsiTheme="majorHAnsi"/>
          <w:b/>
        </w:rPr>
      </w:pPr>
    </w:p>
    <w:p w14:paraId="4CB3695F" w14:textId="77777777" w:rsidR="004A7BE6" w:rsidRPr="00EA0EA9" w:rsidRDefault="004A7BE6" w:rsidP="00216FAF">
      <w:pPr>
        <w:jc w:val="both"/>
        <w:rPr>
          <w:rFonts w:asciiTheme="majorHAnsi" w:hAnsiTheme="majorHAnsi"/>
          <w:b/>
        </w:rPr>
      </w:pPr>
    </w:p>
    <w:p w14:paraId="19DE4698" w14:textId="77777777" w:rsidR="004A7BE6" w:rsidRPr="00EA0EA9" w:rsidRDefault="004A7BE6" w:rsidP="00216FAF">
      <w:pPr>
        <w:jc w:val="both"/>
        <w:rPr>
          <w:rFonts w:asciiTheme="majorHAnsi" w:hAnsiTheme="majorHAnsi"/>
          <w:b/>
        </w:rPr>
      </w:pPr>
    </w:p>
    <w:p w14:paraId="7F46E9F7" w14:textId="77777777" w:rsidR="004A7BE6" w:rsidRPr="00EA0EA9" w:rsidRDefault="004A7BE6" w:rsidP="00216FAF">
      <w:pPr>
        <w:jc w:val="both"/>
        <w:rPr>
          <w:rFonts w:asciiTheme="majorHAnsi" w:hAnsiTheme="majorHAnsi"/>
          <w:b/>
        </w:rPr>
      </w:pPr>
    </w:p>
    <w:p w14:paraId="5E8AA423" w14:textId="77777777" w:rsidR="004A7BE6" w:rsidRPr="00EA0EA9" w:rsidRDefault="004A7BE6" w:rsidP="00216FAF">
      <w:pPr>
        <w:jc w:val="both"/>
        <w:rPr>
          <w:rFonts w:asciiTheme="majorHAnsi" w:hAnsiTheme="majorHAnsi"/>
          <w:b/>
        </w:rPr>
      </w:pPr>
    </w:p>
    <w:p w14:paraId="07C7B2DA" w14:textId="77777777" w:rsidR="004A7BE6" w:rsidRPr="00EA0EA9" w:rsidRDefault="004A7BE6" w:rsidP="00216FAF">
      <w:pPr>
        <w:jc w:val="both"/>
        <w:rPr>
          <w:rFonts w:asciiTheme="majorHAnsi" w:hAnsiTheme="majorHAnsi"/>
          <w:b/>
        </w:rPr>
      </w:pPr>
    </w:p>
    <w:p w14:paraId="13250A66" w14:textId="77777777" w:rsidR="004A7BE6" w:rsidRPr="00EA0EA9" w:rsidRDefault="004A7BE6" w:rsidP="00216FAF">
      <w:pPr>
        <w:jc w:val="both"/>
        <w:rPr>
          <w:rFonts w:asciiTheme="majorHAnsi" w:hAnsiTheme="majorHAnsi"/>
          <w:b/>
        </w:rPr>
      </w:pPr>
    </w:p>
    <w:p w14:paraId="0F0C9D2F" w14:textId="77777777" w:rsidR="004A7BE6" w:rsidRPr="00EA0EA9" w:rsidRDefault="004A7BE6" w:rsidP="00B8575F">
      <w:pPr>
        <w:jc w:val="center"/>
        <w:rPr>
          <w:rFonts w:asciiTheme="majorHAnsi" w:hAnsiTheme="majorHAnsi"/>
          <w:b/>
          <w:color w:val="595959" w:themeColor="text1" w:themeTint="A6"/>
          <w:sz w:val="28"/>
        </w:rPr>
      </w:pPr>
      <w:r w:rsidRPr="00EA0EA9">
        <w:rPr>
          <w:rFonts w:asciiTheme="majorHAnsi" w:hAnsiTheme="majorHAnsi"/>
          <w:b/>
          <w:color w:val="595959" w:themeColor="text1" w:themeTint="A6"/>
          <w:sz w:val="28"/>
        </w:rPr>
        <w:t xml:space="preserve">Paper by Brian </w:t>
      </w:r>
      <w:proofErr w:type="spellStart"/>
      <w:r w:rsidRPr="00EA0EA9">
        <w:rPr>
          <w:rFonts w:asciiTheme="majorHAnsi" w:hAnsiTheme="majorHAnsi"/>
          <w:b/>
          <w:color w:val="595959" w:themeColor="text1" w:themeTint="A6"/>
          <w:sz w:val="28"/>
        </w:rPr>
        <w:t>Tamuka</w:t>
      </w:r>
      <w:proofErr w:type="spellEnd"/>
      <w:r w:rsidRPr="00EA0EA9">
        <w:rPr>
          <w:rFonts w:asciiTheme="majorHAnsi" w:hAnsiTheme="majorHAnsi"/>
          <w:b/>
          <w:color w:val="595959" w:themeColor="text1" w:themeTint="A6"/>
          <w:sz w:val="28"/>
        </w:rPr>
        <w:t xml:space="preserve"> </w:t>
      </w:r>
      <w:proofErr w:type="spellStart"/>
      <w:r w:rsidRPr="00EA0EA9">
        <w:rPr>
          <w:rFonts w:asciiTheme="majorHAnsi" w:hAnsiTheme="majorHAnsi"/>
          <w:b/>
          <w:color w:val="595959" w:themeColor="text1" w:themeTint="A6"/>
          <w:sz w:val="28"/>
        </w:rPr>
        <w:t>Kagoro</w:t>
      </w:r>
      <w:proofErr w:type="spellEnd"/>
    </w:p>
    <w:p w14:paraId="71F6DB67" w14:textId="77777777" w:rsidR="004A7BE6" w:rsidRPr="00EA0EA9" w:rsidRDefault="004A7BE6" w:rsidP="00216FAF">
      <w:pPr>
        <w:jc w:val="both"/>
        <w:rPr>
          <w:rFonts w:asciiTheme="majorHAnsi" w:hAnsiTheme="majorHAnsi"/>
          <w:b/>
          <w:color w:val="595959" w:themeColor="text1" w:themeTint="A6"/>
          <w:sz w:val="40"/>
        </w:rPr>
      </w:pPr>
    </w:p>
    <w:p w14:paraId="264BFBA0" w14:textId="77777777" w:rsidR="004A7BE6" w:rsidRPr="00EA0EA9" w:rsidRDefault="004A7BE6" w:rsidP="00216FAF">
      <w:pPr>
        <w:jc w:val="both"/>
        <w:rPr>
          <w:rFonts w:asciiTheme="majorHAnsi" w:hAnsiTheme="majorHAnsi"/>
          <w:b/>
          <w:color w:val="595959" w:themeColor="text1" w:themeTint="A6"/>
          <w:sz w:val="40"/>
        </w:rPr>
      </w:pPr>
    </w:p>
    <w:p w14:paraId="4C00F0AE" w14:textId="77777777" w:rsidR="004A7BE6" w:rsidRPr="00EA0EA9" w:rsidRDefault="004A7BE6" w:rsidP="00216FAF">
      <w:pPr>
        <w:jc w:val="both"/>
        <w:rPr>
          <w:rFonts w:asciiTheme="majorHAnsi" w:hAnsiTheme="majorHAnsi"/>
          <w:b/>
          <w:color w:val="595959" w:themeColor="text1" w:themeTint="A6"/>
          <w:sz w:val="40"/>
        </w:rPr>
      </w:pPr>
    </w:p>
    <w:p w14:paraId="5B1E2EF5" w14:textId="77777777" w:rsidR="004A7BE6" w:rsidRPr="00EA0EA9" w:rsidRDefault="004A7BE6" w:rsidP="00216FAF">
      <w:pPr>
        <w:jc w:val="both"/>
        <w:rPr>
          <w:rFonts w:asciiTheme="majorHAnsi" w:hAnsiTheme="majorHAnsi"/>
          <w:b/>
          <w:color w:val="595959" w:themeColor="text1" w:themeTint="A6"/>
          <w:sz w:val="40"/>
        </w:rPr>
        <w:sectPr w:rsidR="004A7BE6" w:rsidRPr="00EA0EA9" w:rsidSect="003512E4">
          <w:pgSz w:w="11900" w:h="16820"/>
          <w:pgMar w:top="1440" w:right="1440" w:bottom="1440" w:left="1440" w:header="708" w:footer="708" w:gutter="0"/>
          <w:cols w:space="708"/>
          <w:docGrid w:linePitch="360"/>
        </w:sectPr>
      </w:pPr>
    </w:p>
    <w:p w14:paraId="2FFC4E7D" w14:textId="77777777" w:rsidR="004A7BE6" w:rsidRPr="00EA0EA9" w:rsidRDefault="0053255E" w:rsidP="00216FAF">
      <w:pPr>
        <w:jc w:val="both"/>
        <w:rPr>
          <w:rFonts w:asciiTheme="majorHAnsi" w:hAnsiTheme="majorHAnsi"/>
          <w:b/>
          <w:color w:val="00B050"/>
          <w:sz w:val="32"/>
        </w:rPr>
      </w:pPr>
      <w:r w:rsidRPr="00EA0EA9">
        <w:rPr>
          <w:rFonts w:asciiTheme="majorHAnsi" w:hAnsiTheme="majorHAnsi"/>
          <w:b/>
          <w:color w:val="00B050"/>
          <w:sz w:val="32"/>
        </w:rPr>
        <w:lastRenderedPageBreak/>
        <w:t>CONTENTS</w:t>
      </w:r>
    </w:p>
    <w:p w14:paraId="521BF435" w14:textId="635FCDFA" w:rsidR="00703DBB" w:rsidRDefault="009D7BF7">
      <w:pPr>
        <w:pStyle w:val="TOC1"/>
        <w:tabs>
          <w:tab w:val="right" w:pos="9016"/>
        </w:tabs>
        <w:rPr>
          <w:rFonts w:asciiTheme="minorHAnsi" w:hAnsiTheme="minorHAnsi"/>
          <w:b w:val="0"/>
          <w:bCs w:val="0"/>
          <w:caps w:val="0"/>
          <w:noProof/>
          <w:sz w:val="22"/>
          <w:szCs w:val="22"/>
          <w:lang w:val="en-US"/>
        </w:rPr>
      </w:pPr>
      <w:r w:rsidRPr="00EA0EA9">
        <w:rPr>
          <w:b w:val="0"/>
          <w:color w:val="00FF00"/>
          <w:sz w:val="40"/>
        </w:rPr>
        <w:fldChar w:fldCharType="begin"/>
      </w:r>
      <w:r w:rsidR="00B8575F" w:rsidRPr="00EA0EA9">
        <w:rPr>
          <w:b w:val="0"/>
          <w:color w:val="00FF00"/>
          <w:sz w:val="40"/>
        </w:rPr>
        <w:instrText xml:space="preserve"> TOC \o "1-3" \h \z \u </w:instrText>
      </w:r>
      <w:r w:rsidRPr="00EA0EA9">
        <w:rPr>
          <w:b w:val="0"/>
          <w:color w:val="00FF00"/>
          <w:sz w:val="40"/>
        </w:rPr>
        <w:fldChar w:fldCharType="separate"/>
      </w:r>
      <w:hyperlink w:anchor="_Toc476983567" w:history="1">
        <w:r w:rsidR="00703DBB" w:rsidRPr="00F57DC3">
          <w:rPr>
            <w:rStyle w:val="Hyperlink"/>
            <w:noProof/>
          </w:rPr>
          <w:t>LIST OF ACRONYMS</w:t>
        </w:r>
        <w:r w:rsidR="00703DBB">
          <w:rPr>
            <w:noProof/>
            <w:webHidden/>
          </w:rPr>
          <w:tab/>
        </w:r>
        <w:r w:rsidR="00703DBB">
          <w:rPr>
            <w:noProof/>
            <w:webHidden/>
          </w:rPr>
          <w:fldChar w:fldCharType="begin"/>
        </w:r>
        <w:r w:rsidR="00703DBB">
          <w:rPr>
            <w:noProof/>
            <w:webHidden/>
          </w:rPr>
          <w:instrText xml:space="preserve"> PAGEREF _Toc476983567 \h </w:instrText>
        </w:r>
        <w:r w:rsidR="00703DBB">
          <w:rPr>
            <w:noProof/>
            <w:webHidden/>
          </w:rPr>
        </w:r>
        <w:r w:rsidR="00703DBB">
          <w:rPr>
            <w:noProof/>
            <w:webHidden/>
          </w:rPr>
          <w:fldChar w:fldCharType="separate"/>
        </w:r>
        <w:r w:rsidR="00703DBB">
          <w:rPr>
            <w:noProof/>
            <w:webHidden/>
          </w:rPr>
          <w:t>1</w:t>
        </w:r>
        <w:r w:rsidR="00703DBB">
          <w:rPr>
            <w:noProof/>
            <w:webHidden/>
          </w:rPr>
          <w:fldChar w:fldCharType="end"/>
        </w:r>
      </w:hyperlink>
    </w:p>
    <w:p w14:paraId="15747D08" w14:textId="06ECE9D5" w:rsidR="00703DBB" w:rsidRDefault="00520302">
      <w:pPr>
        <w:pStyle w:val="TOC1"/>
        <w:tabs>
          <w:tab w:val="right" w:pos="9016"/>
        </w:tabs>
        <w:rPr>
          <w:rFonts w:asciiTheme="minorHAnsi" w:hAnsiTheme="minorHAnsi"/>
          <w:b w:val="0"/>
          <w:bCs w:val="0"/>
          <w:caps w:val="0"/>
          <w:noProof/>
          <w:sz w:val="22"/>
          <w:szCs w:val="22"/>
          <w:lang w:val="en-US"/>
        </w:rPr>
      </w:pPr>
      <w:hyperlink w:anchor="_Toc476983568" w:history="1">
        <w:r w:rsidR="00703DBB" w:rsidRPr="00F57DC3">
          <w:rPr>
            <w:rStyle w:val="Hyperlink"/>
            <w:rFonts w:eastAsia="Times New Roman"/>
            <w:noProof/>
            <w:lang w:eastAsia="en-GB"/>
          </w:rPr>
          <w:t>EXECUTIVE SUMMARY</w:t>
        </w:r>
        <w:r w:rsidR="00703DBB">
          <w:rPr>
            <w:noProof/>
            <w:webHidden/>
          </w:rPr>
          <w:tab/>
        </w:r>
        <w:r w:rsidR="00703DBB">
          <w:rPr>
            <w:noProof/>
            <w:webHidden/>
          </w:rPr>
          <w:fldChar w:fldCharType="begin"/>
        </w:r>
        <w:r w:rsidR="00703DBB">
          <w:rPr>
            <w:noProof/>
            <w:webHidden/>
          </w:rPr>
          <w:instrText xml:space="preserve"> PAGEREF _Toc476983568 \h </w:instrText>
        </w:r>
        <w:r w:rsidR="00703DBB">
          <w:rPr>
            <w:noProof/>
            <w:webHidden/>
          </w:rPr>
        </w:r>
        <w:r w:rsidR="00703DBB">
          <w:rPr>
            <w:noProof/>
            <w:webHidden/>
          </w:rPr>
          <w:fldChar w:fldCharType="separate"/>
        </w:r>
        <w:r w:rsidR="00703DBB">
          <w:rPr>
            <w:noProof/>
            <w:webHidden/>
          </w:rPr>
          <w:t>2</w:t>
        </w:r>
        <w:r w:rsidR="00703DBB">
          <w:rPr>
            <w:noProof/>
            <w:webHidden/>
          </w:rPr>
          <w:fldChar w:fldCharType="end"/>
        </w:r>
      </w:hyperlink>
    </w:p>
    <w:p w14:paraId="30ED6556" w14:textId="06434BE2" w:rsidR="00703DBB" w:rsidRDefault="00520302">
      <w:pPr>
        <w:pStyle w:val="TOC1"/>
        <w:tabs>
          <w:tab w:val="left" w:pos="480"/>
          <w:tab w:val="right" w:pos="9016"/>
        </w:tabs>
        <w:rPr>
          <w:rFonts w:asciiTheme="minorHAnsi" w:hAnsiTheme="minorHAnsi"/>
          <w:b w:val="0"/>
          <w:bCs w:val="0"/>
          <w:caps w:val="0"/>
          <w:noProof/>
          <w:sz w:val="22"/>
          <w:szCs w:val="22"/>
          <w:lang w:val="en-US"/>
        </w:rPr>
      </w:pPr>
      <w:hyperlink w:anchor="_Toc476983569" w:history="1">
        <w:r w:rsidR="00703DBB" w:rsidRPr="00F57DC3">
          <w:rPr>
            <w:rStyle w:val="Hyperlink"/>
            <w:noProof/>
            <w:lang w:eastAsia="en-GB"/>
          </w:rPr>
          <w:t>1.</w:t>
        </w:r>
        <w:r w:rsidR="00703DBB">
          <w:rPr>
            <w:rFonts w:asciiTheme="minorHAnsi" w:hAnsiTheme="minorHAnsi"/>
            <w:b w:val="0"/>
            <w:bCs w:val="0"/>
            <w:caps w:val="0"/>
            <w:noProof/>
            <w:sz w:val="22"/>
            <w:szCs w:val="22"/>
            <w:lang w:val="en-US"/>
          </w:rPr>
          <w:tab/>
        </w:r>
        <w:r w:rsidR="00703DBB" w:rsidRPr="00F57DC3">
          <w:rPr>
            <w:rStyle w:val="Hyperlink"/>
            <w:noProof/>
            <w:lang w:eastAsia="en-GB"/>
          </w:rPr>
          <w:t>Purpose of Paper, Methodology and Approach</w:t>
        </w:r>
        <w:r w:rsidR="00703DBB">
          <w:rPr>
            <w:noProof/>
            <w:webHidden/>
          </w:rPr>
          <w:tab/>
        </w:r>
        <w:r w:rsidR="00703DBB">
          <w:rPr>
            <w:noProof/>
            <w:webHidden/>
          </w:rPr>
          <w:fldChar w:fldCharType="begin"/>
        </w:r>
        <w:r w:rsidR="00703DBB">
          <w:rPr>
            <w:noProof/>
            <w:webHidden/>
          </w:rPr>
          <w:instrText xml:space="preserve"> PAGEREF _Toc476983569 \h </w:instrText>
        </w:r>
        <w:r w:rsidR="00703DBB">
          <w:rPr>
            <w:noProof/>
            <w:webHidden/>
          </w:rPr>
        </w:r>
        <w:r w:rsidR="00703DBB">
          <w:rPr>
            <w:noProof/>
            <w:webHidden/>
          </w:rPr>
          <w:fldChar w:fldCharType="separate"/>
        </w:r>
        <w:r w:rsidR="00703DBB">
          <w:rPr>
            <w:noProof/>
            <w:webHidden/>
          </w:rPr>
          <w:t>4</w:t>
        </w:r>
        <w:r w:rsidR="00703DBB">
          <w:rPr>
            <w:noProof/>
            <w:webHidden/>
          </w:rPr>
          <w:fldChar w:fldCharType="end"/>
        </w:r>
      </w:hyperlink>
    </w:p>
    <w:p w14:paraId="1E556E62" w14:textId="76D79CF4" w:rsidR="00703DBB" w:rsidRDefault="00520302">
      <w:pPr>
        <w:pStyle w:val="TOC2"/>
        <w:tabs>
          <w:tab w:val="left" w:pos="720"/>
          <w:tab w:val="right" w:pos="9016"/>
        </w:tabs>
        <w:rPr>
          <w:b w:val="0"/>
          <w:bCs w:val="0"/>
          <w:noProof/>
          <w:sz w:val="22"/>
          <w:szCs w:val="22"/>
          <w:lang w:val="en-US"/>
        </w:rPr>
      </w:pPr>
      <w:hyperlink w:anchor="_Toc476983570" w:history="1">
        <w:r w:rsidR="00703DBB" w:rsidRPr="00F57DC3">
          <w:rPr>
            <w:rStyle w:val="Hyperlink"/>
            <w:noProof/>
            <w:lang w:eastAsia="en-GB"/>
          </w:rPr>
          <w:t>1.1.</w:t>
        </w:r>
        <w:r w:rsidR="00703DBB">
          <w:rPr>
            <w:b w:val="0"/>
            <w:bCs w:val="0"/>
            <w:noProof/>
            <w:sz w:val="22"/>
            <w:szCs w:val="22"/>
            <w:lang w:val="en-US"/>
          </w:rPr>
          <w:tab/>
        </w:r>
        <w:r w:rsidR="00703DBB" w:rsidRPr="00F57DC3">
          <w:rPr>
            <w:rStyle w:val="Hyperlink"/>
            <w:noProof/>
            <w:lang w:eastAsia="en-GB"/>
          </w:rPr>
          <w:t>Purpose</w:t>
        </w:r>
        <w:r w:rsidR="00703DBB">
          <w:rPr>
            <w:noProof/>
            <w:webHidden/>
          </w:rPr>
          <w:tab/>
        </w:r>
        <w:r w:rsidR="00703DBB">
          <w:rPr>
            <w:noProof/>
            <w:webHidden/>
          </w:rPr>
          <w:fldChar w:fldCharType="begin"/>
        </w:r>
        <w:r w:rsidR="00703DBB">
          <w:rPr>
            <w:noProof/>
            <w:webHidden/>
          </w:rPr>
          <w:instrText xml:space="preserve"> PAGEREF _Toc476983570 \h </w:instrText>
        </w:r>
        <w:r w:rsidR="00703DBB">
          <w:rPr>
            <w:noProof/>
            <w:webHidden/>
          </w:rPr>
        </w:r>
        <w:r w:rsidR="00703DBB">
          <w:rPr>
            <w:noProof/>
            <w:webHidden/>
          </w:rPr>
          <w:fldChar w:fldCharType="separate"/>
        </w:r>
        <w:r w:rsidR="00703DBB">
          <w:rPr>
            <w:noProof/>
            <w:webHidden/>
          </w:rPr>
          <w:t>4</w:t>
        </w:r>
        <w:r w:rsidR="00703DBB">
          <w:rPr>
            <w:noProof/>
            <w:webHidden/>
          </w:rPr>
          <w:fldChar w:fldCharType="end"/>
        </w:r>
      </w:hyperlink>
    </w:p>
    <w:p w14:paraId="4E786CC8" w14:textId="7AE8AC65" w:rsidR="00703DBB" w:rsidRDefault="00520302">
      <w:pPr>
        <w:pStyle w:val="TOC2"/>
        <w:tabs>
          <w:tab w:val="left" w:pos="720"/>
          <w:tab w:val="right" w:pos="9016"/>
        </w:tabs>
        <w:rPr>
          <w:b w:val="0"/>
          <w:bCs w:val="0"/>
          <w:noProof/>
          <w:sz w:val="22"/>
          <w:szCs w:val="22"/>
          <w:lang w:val="en-US"/>
        </w:rPr>
      </w:pPr>
      <w:hyperlink w:anchor="_Toc476983571" w:history="1">
        <w:r w:rsidR="00703DBB" w:rsidRPr="00F57DC3">
          <w:rPr>
            <w:rStyle w:val="Hyperlink"/>
            <w:noProof/>
            <w:lang w:eastAsia="en-GB"/>
          </w:rPr>
          <w:t>1.2.</w:t>
        </w:r>
        <w:r w:rsidR="00703DBB">
          <w:rPr>
            <w:b w:val="0"/>
            <w:bCs w:val="0"/>
            <w:noProof/>
            <w:sz w:val="22"/>
            <w:szCs w:val="22"/>
            <w:lang w:val="en-US"/>
          </w:rPr>
          <w:tab/>
        </w:r>
        <w:r w:rsidR="00703DBB" w:rsidRPr="00F57DC3">
          <w:rPr>
            <w:rStyle w:val="Hyperlink"/>
            <w:noProof/>
            <w:lang w:eastAsia="en-GB"/>
          </w:rPr>
          <w:t>Methodology</w:t>
        </w:r>
        <w:r w:rsidR="00703DBB">
          <w:rPr>
            <w:noProof/>
            <w:webHidden/>
          </w:rPr>
          <w:tab/>
        </w:r>
        <w:r w:rsidR="00703DBB">
          <w:rPr>
            <w:noProof/>
            <w:webHidden/>
          </w:rPr>
          <w:fldChar w:fldCharType="begin"/>
        </w:r>
        <w:r w:rsidR="00703DBB">
          <w:rPr>
            <w:noProof/>
            <w:webHidden/>
          </w:rPr>
          <w:instrText xml:space="preserve"> PAGEREF _Toc476983571 \h </w:instrText>
        </w:r>
        <w:r w:rsidR="00703DBB">
          <w:rPr>
            <w:noProof/>
            <w:webHidden/>
          </w:rPr>
        </w:r>
        <w:r w:rsidR="00703DBB">
          <w:rPr>
            <w:noProof/>
            <w:webHidden/>
          </w:rPr>
          <w:fldChar w:fldCharType="separate"/>
        </w:r>
        <w:r w:rsidR="00703DBB">
          <w:rPr>
            <w:noProof/>
            <w:webHidden/>
          </w:rPr>
          <w:t>5</w:t>
        </w:r>
        <w:r w:rsidR="00703DBB">
          <w:rPr>
            <w:noProof/>
            <w:webHidden/>
          </w:rPr>
          <w:fldChar w:fldCharType="end"/>
        </w:r>
      </w:hyperlink>
    </w:p>
    <w:p w14:paraId="7CF223EC" w14:textId="14ED24F2" w:rsidR="00703DBB" w:rsidRDefault="00520302">
      <w:pPr>
        <w:pStyle w:val="TOC2"/>
        <w:tabs>
          <w:tab w:val="left" w:pos="720"/>
          <w:tab w:val="right" w:pos="9016"/>
        </w:tabs>
        <w:rPr>
          <w:b w:val="0"/>
          <w:bCs w:val="0"/>
          <w:noProof/>
          <w:sz w:val="22"/>
          <w:szCs w:val="22"/>
          <w:lang w:val="en-US"/>
        </w:rPr>
      </w:pPr>
      <w:hyperlink w:anchor="_Toc476983572" w:history="1">
        <w:r w:rsidR="00703DBB" w:rsidRPr="00F57DC3">
          <w:rPr>
            <w:rStyle w:val="Hyperlink"/>
            <w:noProof/>
            <w:lang w:eastAsia="en-GB"/>
          </w:rPr>
          <w:t>1.3.</w:t>
        </w:r>
        <w:r w:rsidR="00703DBB">
          <w:rPr>
            <w:b w:val="0"/>
            <w:bCs w:val="0"/>
            <w:noProof/>
            <w:sz w:val="22"/>
            <w:szCs w:val="22"/>
            <w:lang w:val="en-US"/>
          </w:rPr>
          <w:tab/>
        </w:r>
        <w:r w:rsidR="00703DBB" w:rsidRPr="00F57DC3">
          <w:rPr>
            <w:rStyle w:val="Hyperlink"/>
            <w:noProof/>
            <w:lang w:eastAsia="en-GB"/>
          </w:rPr>
          <w:t>Approach</w:t>
        </w:r>
        <w:r w:rsidR="00703DBB">
          <w:rPr>
            <w:noProof/>
            <w:webHidden/>
          </w:rPr>
          <w:tab/>
        </w:r>
        <w:r w:rsidR="00703DBB">
          <w:rPr>
            <w:noProof/>
            <w:webHidden/>
          </w:rPr>
          <w:fldChar w:fldCharType="begin"/>
        </w:r>
        <w:r w:rsidR="00703DBB">
          <w:rPr>
            <w:noProof/>
            <w:webHidden/>
          </w:rPr>
          <w:instrText xml:space="preserve"> PAGEREF _Toc476983572 \h </w:instrText>
        </w:r>
        <w:r w:rsidR="00703DBB">
          <w:rPr>
            <w:noProof/>
            <w:webHidden/>
          </w:rPr>
        </w:r>
        <w:r w:rsidR="00703DBB">
          <w:rPr>
            <w:noProof/>
            <w:webHidden/>
          </w:rPr>
          <w:fldChar w:fldCharType="separate"/>
        </w:r>
        <w:r w:rsidR="00703DBB">
          <w:rPr>
            <w:noProof/>
            <w:webHidden/>
          </w:rPr>
          <w:t>5</w:t>
        </w:r>
        <w:r w:rsidR="00703DBB">
          <w:rPr>
            <w:noProof/>
            <w:webHidden/>
          </w:rPr>
          <w:fldChar w:fldCharType="end"/>
        </w:r>
      </w:hyperlink>
    </w:p>
    <w:p w14:paraId="70590AD2" w14:textId="0561DB55" w:rsidR="00703DBB" w:rsidRDefault="00520302">
      <w:pPr>
        <w:pStyle w:val="TOC1"/>
        <w:tabs>
          <w:tab w:val="left" w:pos="480"/>
          <w:tab w:val="right" w:pos="9016"/>
        </w:tabs>
        <w:rPr>
          <w:rFonts w:asciiTheme="minorHAnsi" w:hAnsiTheme="minorHAnsi"/>
          <w:b w:val="0"/>
          <w:bCs w:val="0"/>
          <w:caps w:val="0"/>
          <w:noProof/>
          <w:sz w:val="22"/>
          <w:szCs w:val="22"/>
          <w:lang w:val="en-US"/>
        </w:rPr>
      </w:pPr>
      <w:hyperlink w:anchor="_Toc476983573" w:history="1">
        <w:r w:rsidR="00703DBB" w:rsidRPr="00F57DC3">
          <w:rPr>
            <w:rStyle w:val="Hyperlink"/>
            <w:noProof/>
            <w:lang w:eastAsia="en-GB"/>
          </w:rPr>
          <w:t>2.</w:t>
        </w:r>
        <w:r w:rsidR="00703DBB">
          <w:rPr>
            <w:rFonts w:asciiTheme="minorHAnsi" w:hAnsiTheme="minorHAnsi"/>
            <w:b w:val="0"/>
            <w:bCs w:val="0"/>
            <w:caps w:val="0"/>
            <w:noProof/>
            <w:sz w:val="22"/>
            <w:szCs w:val="22"/>
            <w:lang w:val="en-US"/>
          </w:rPr>
          <w:tab/>
        </w:r>
        <w:r w:rsidR="00703DBB" w:rsidRPr="00F57DC3">
          <w:rPr>
            <w:rStyle w:val="Hyperlink"/>
            <w:noProof/>
            <w:lang w:eastAsia="en-GB"/>
          </w:rPr>
          <w:t>Busan Principles</w:t>
        </w:r>
        <w:r w:rsidR="00703DBB">
          <w:rPr>
            <w:noProof/>
            <w:webHidden/>
          </w:rPr>
          <w:tab/>
        </w:r>
        <w:r w:rsidR="00703DBB">
          <w:rPr>
            <w:noProof/>
            <w:webHidden/>
          </w:rPr>
          <w:fldChar w:fldCharType="begin"/>
        </w:r>
        <w:r w:rsidR="00703DBB">
          <w:rPr>
            <w:noProof/>
            <w:webHidden/>
          </w:rPr>
          <w:instrText xml:space="preserve"> PAGEREF _Toc476983573 \h </w:instrText>
        </w:r>
        <w:r w:rsidR="00703DBB">
          <w:rPr>
            <w:noProof/>
            <w:webHidden/>
          </w:rPr>
        </w:r>
        <w:r w:rsidR="00703DBB">
          <w:rPr>
            <w:noProof/>
            <w:webHidden/>
          </w:rPr>
          <w:fldChar w:fldCharType="separate"/>
        </w:r>
        <w:r w:rsidR="00703DBB">
          <w:rPr>
            <w:noProof/>
            <w:webHidden/>
          </w:rPr>
          <w:t>6</w:t>
        </w:r>
        <w:r w:rsidR="00703DBB">
          <w:rPr>
            <w:noProof/>
            <w:webHidden/>
          </w:rPr>
          <w:fldChar w:fldCharType="end"/>
        </w:r>
      </w:hyperlink>
    </w:p>
    <w:p w14:paraId="2300FE52" w14:textId="5D561778" w:rsidR="00703DBB" w:rsidRDefault="00520302">
      <w:pPr>
        <w:pStyle w:val="TOC2"/>
        <w:tabs>
          <w:tab w:val="left" w:pos="720"/>
          <w:tab w:val="right" w:pos="9016"/>
        </w:tabs>
        <w:rPr>
          <w:b w:val="0"/>
          <w:bCs w:val="0"/>
          <w:noProof/>
          <w:sz w:val="22"/>
          <w:szCs w:val="22"/>
          <w:lang w:val="en-US"/>
        </w:rPr>
      </w:pPr>
      <w:hyperlink w:anchor="_Toc476983574" w:history="1">
        <w:r w:rsidR="00703DBB" w:rsidRPr="00F57DC3">
          <w:rPr>
            <w:rStyle w:val="Hyperlink"/>
            <w:noProof/>
            <w:lang w:eastAsia="en-GB"/>
          </w:rPr>
          <w:t>2.1.</w:t>
        </w:r>
        <w:r w:rsidR="00703DBB">
          <w:rPr>
            <w:b w:val="0"/>
            <w:bCs w:val="0"/>
            <w:noProof/>
            <w:sz w:val="22"/>
            <w:szCs w:val="22"/>
            <w:lang w:val="en-US"/>
          </w:rPr>
          <w:tab/>
        </w:r>
        <w:r w:rsidR="00703DBB" w:rsidRPr="00F57DC3">
          <w:rPr>
            <w:rStyle w:val="Hyperlink"/>
            <w:noProof/>
            <w:lang w:eastAsia="en-GB"/>
          </w:rPr>
          <w:t>Context</w:t>
        </w:r>
        <w:r w:rsidR="00703DBB">
          <w:rPr>
            <w:noProof/>
            <w:webHidden/>
          </w:rPr>
          <w:tab/>
        </w:r>
        <w:r w:rsidR="00703DBB">
          <w:rPr>
            <w:noProof/>
            <w:webHidden/>
          </w:rPr>
          <w:fldChar w:fldCharType="begin"/>
        </w:r>
        <w:r w:rsidR="00703DBB">
          <w:rPr>
            <w:noProof/>
            <w:webHidden/>
          </w:rPr>
          <w:instrText xml:space="preserve"> PAGEREF _Toc476983574 \h </w:instrText>
        </w:r>
        <w:r w:rsidR="00703DBB">
          <w:rPr>
            <w:noProof/>
            <w:webHidden/>
          </w:rPr>
        </w:r>
        <w:r w:rsidR="00703DBB">
          <w:rPr>
            <w:noProof/>
            <w:webHidden/>
          </w:rPr>
          <w:fldChar w:fldCharType="separate"/>
        </w:r>
        <w:r w:rsidR="00703DBB">
          <w:rPr>
            <w:noProof/>
            <w:webHidden/>
          </w:rPr>
          <w:t>6</w:t>
        </w:r>
        <w:r w:rsidR="00703DBB">
          <w:rPr>
            <w:noProof/>
            <w:webHidden/>
          </w:rPr>
          <w:fldChar w:fldCharType="end"/>
        </w:r>
      </w:hyperlink>
    </w:p>
    <w:p w14:paraId="78295625" w14:textId="4ABD2614" w:rsidR="00703DBB" w:rsidRDefault="00520302">
      <w:pPr>
        <w:pStyle w:val="TOC2"/>
        <w:tabs>
          <w:tab w:val="left" w:pos="720"/>
          <w:tab w:val="right" w:pos="9016"/>
        </w:tabs>
        <w:rPr>
          <w:b w:val="0"/>
          <w:bCs w:val="0"/>
          <w:noProof/>
          <w:sz w:val="22"/>
          <w:szCs w:val="22"/>
          <w:lang w:val="en-US"/>
        </w:rPr>
      </w:pPr>
      <w:hyperlink w:anchor="_Toc476983575" w:history="1">
        <w:r w:rsidR="00703DBB" w:rsidRPr="00F57DC3">
          <w:rPr>
            <w:rStyle w:val="Hyperlink"/>
            <w:noProof/>
            <w:lang w:eastAsia="en-GB"/>
          </w:rPr>
          <w:t>2.2.</w:t>
        </w:r>
        <w:r w:rsidR="00703DBB">
          <w:rPr>
            <w:b w:val="0"/>
            <w:bCs w:val="0"/>
            <w:noProof/>
            <w:sz w:val="22"/>
            <w:szCs w:val="22"/>
            <w:lang w:val="en-US"/>
          </w:rPr>
          <w:tab/>
        </w:r>
        <w:r w:rsidR="00703DBB" w:rsidRPr="00F57DC3">
          <w:rPr>
            <w:rStyle w:val="Hyperlink"/>
            <w:noProof/>
            <w:lang w:eastAsia="en-GB"/>
          </w:rPr>
          <w:t>Monitoring Frameworks at the Country and Global Level</w:t>
        </w:r>
        <w:r w:rsidR="00703DBB">
          <w:rPr>
            <w:noProof/>
            <w:webHidden/>
          </w:rPr>
          <w:tab/>
        </w:r>
        <w:r w:rsidR="00703DBB">
          <w:rPr>
            <w:noProof/>
            <w:webHidden/>
          </w:rPr>
          <w:fldChar w:fldCharType="begin"/>
        </w:r>
        <w:r w:rsidR="00703DBB">
          <w:rPr>
            <w:noProof/>
            <w:webHidden/>
          </w:rPr>
          <w:instrText xml:space="preserve"> PAGEREF _Toc476983575 \h </w:instrText>
        </w:r>
        <w:r w:rsidR="00703DBB">
          <w:rPr>
            <w:noProof/>
            <w:webHidden/>
          </w:rPr>
        </w:r>
        <w:r w:rsidR="00703DBB">
          <w:rPr>
            <w:noProof/>
            <w:webHidden/>
          </w:rPr>
          <w:fldChar w:fldCharType="separate"/>
        </w:r>
        <w:r w:rsidR="00703DBB">
          <w:rPr>
            <w:noProof/>
            <w:webHidden/>
          </w:rPr>
          <w:t>8</w:t>
        </w:r>
        <w:r w:rsidR="00703DBB">
          <w:rPr>
            <w:noProof/>
            <w:webHidden/>
          </w:rPr>
          <w:fldChar w:fldCharType="end"/>
        </w:r>
      </w:hyperlink>
    </w:p>
    <w:p w14:paraId="64DAB8C8" w14:textId="69182A99" w:rsidR="00703DBB" w:rsidRDefault="00520302">
      <w:pPr>
        <w:pStyle w:val="TOC2"/>
        <w:tabs>
          <w:tab w:val="left" w:pos="720"/>
          <w:tab w:val="right" w:pos="9016"/>
        </w:tabs>
        <w:rPr>
          <w:b w:val="0"/>
          <w:bCs w:val="0"/>
          <w:noProof/>
          <w:sz w:val="22"/>
          <w:szCs w:val="22"/>
          <w:lang w:val="en-US"/>
        </w:rPr>
      </w:pPr>
      <w:hyperlink w:anchor="_Toc476983576" w:history="1">
        <w:r w:rsidR="00703DBB" w:rsidRPr="00F57DC3">
          <w:rPr>
            <w:rStyle w:val="Hyperlink"/>
            <w:noProof/>
            <w:lang w:eastAsia="en-GB"/>
          </w:rPr>
          <w:t>2.3.</w:t>
        </w:r>
        <w:r w:rsidR="00703DBB">
          <w:rPr>
            <w:b w:val="0"/>
            <w:bCs w:val="0"/>
            <w:noProof/>
            <w:sz w:val="22"/>
            <w:szCs w:val="22"/>
            <w:lang w:val="en-US"/>
          </w:rPr>
          <w:tab/>
        </w:r>
        <w:r w:rsidR="00703DBB" w:rsidRPr="00F57DC3">
          <w:rPr>
            <w:rStyle w:val="Hyperlink"/>
            <w:noProof/>
            <w:lang w:eastAsia="en-GB"/>
          </w:rPr>
          <w:t>The Enabling Environment Indicators</w:t>
        </w:r>
        <w:r w:rsidR="00703DBB">
          <w:rPr>
            <w:noProof/>
            <w:webHidden/>
          </w:rPr>
          <w:tab/>
        </w:r>
        <w:r w:rsidR="00703DBB">
          <w:rPr>
            <w:noProof/>
            <w:webHidden/>
          </w:rPr>
          <w:fldChar w:fldCharType="begin"/>
        </w:r>
        <w:r w:rsidR="00703DBB">
          <w:rPr>
            <w:noProof/>
            <w:webHidden/>
          </w:rPr>
          <w:instrText xml:space="preserve"> PAGEREF _Toc476983576 \h </w:instrText>
        </w:r>
        <w:r w:rsidR="00703DBB">
          <w:rPr>
            <w:noProof/>
            <w:webHidden/>
          </w:rPr>
        </w:r>
        <w:r w:rsidR="00703DBB">
          <w:rPr>
            <w:noProof/>
            <w:webHidden/>
          </w:rPr>
          <w:fldChar w:fldCharType="separate"/>
        </w:r>
        <w:r w:rsidR="00703DBB">
          <w:rPr>
            <w:noProof/>
            <w:webHidden/>
          </w:rPr>
          <w:t>9</w:t>
        </w:r>
        <w:r w:rsidR="00703DBB">
          <w:rPr>
            <w:noProof/>
            <w:webHidden/>
          </w:rPr>
          <w:fldChar w:fldCharType="end"/>
        </w:r>
      </w:hyperlink>
    </w:p>
    <w:p w14:paraId="35EFCDDD" w14:textId="5C0C0AF3" w:rsidR="00703DBB" w:rsidRDefault="00520302">
      <w:pPr>
        <w:pStyle w:val="TOC1"/>
        <w:tabs>
          <w:tab w:val="left" w:pos="480"/>
          <w:tab w:val="right" w:pos="9016"/>
        </w:tabs>
        <w:rPr>
          <w:rFonts w:asciiTheme="minorHAnsi" w:hAnsiTheme="minorHAnsi"/>
          <w:b w:val="0"/>
          <w:bCs w:val="0"/>
          <w:caps w:val="0"/>
          <w:noProof/>
          <w:sz w:val="22"/>
          <w:szCs w:val="22"/>
          <w:lang w:val="en-US"/>
        </w:rPr>
      </w:pPr>
      <w:hyperlink w:anchor="_Toc476983577" w:history="1">
        <w:r w:rsidR="00703DBB" w:rsidRPr="00F57DC3">
          <w:rPr>
            <w:rStyle w:val="Hyperlink"/>
            <w:noProof/>
            <w:lang w:eastAsia="en-GB"/>
          </w:rPr>
          <w:t>3.</w:t>
        </w:r>
        <w:r w:rsidR="00703DBB">
          <w:rPr>
            <w:rFonts w:asciiTheme="minorHAnsi" w:hAnsiTheme="minorHAnsi"/>
            <w:b w:val="0"/>
            <w:bCs w:val="0"/>
            <w:caps w:val="0"/>
            <w:noProof/>
            <w:sz w:val="22"/>
            <w:szCs w:val="22"/>
            <w:lang w:val="en-US"/>
          </w:rPr>
          <w:tab/>
        </w:r>
        <w:r w:rsidR="00703DBB" w:rsidRPr="00F57DC3">
          <w:rPr>
            <w:rStyle w:val="Hyperlink"/>
            <w:noProof/>
            <w:lang w:eastAsia="en-GB"/>
          </w:rPr>
          <w:t>South African Key Economic and Social Indicators</w:t>
        </w:r>
        <w:r w:rsidR="00703DBB">
          <w:rPr>
            <w:noProof/>
            <w:webHidden/>
          </w:rPr>
          <w:tab/>
        </w:r>
        <w:r w:rsidR="00703DBB">
          <w:rPr>
            <w:noProof/>
            <w:webHidden/>
          </w:rPr>
          <w:fldChar w:fldCharType="begin"/>
        </w:r>
        <w:r w:rsidR="00703DBB">
          <w:rPr>
            <w:noProof/>
            <w:webHidden/>
          </w:rPr>
          <w:instrText xml:space="preserve"> PAGEREF _Toc476983577 \h </w:instrText>
        </w:r>
        <w:r w:rsidR="00703DBB">
          <w:rPr>
            <w:noProof/>
            <w:webHidden/>
          </w:rPr>
        </w:r>
        <w:r w:rsidR="00703DBB">
          <w:rPr>
            <w:noProof/>
            <w:webHidden/>
          </w:rPr>
          <w:fldChar w:fldCharType="separate"/>
        </w:r>
        <w:r w:rsidR="00703DBB">
          <w:rPr>
            <w:noProof/>
            <w:webHidden/>
          </w:rPr>
          <w:t>10</w:t>
        </w:r>
        <w:r w:rsidR="00703DBB">
          <w:rPr>
            <w:noProof/>
            <w:webHidden/>
          </w:rPr>
          <w:fldChar w:fldCharType="end"/>
        </w:r>
      </w:hyperlink>
    </w:p>
    <w:p w14:paraId="4BB95EC4" w14:textId="6CC79138" w:rsidR="00703DBB" w:rsidRDefault="00520302">
      <w:pPr>
        <w:pStyle w:val="TOC2"/>
        <w:tabs>
          <w:tab w:val="left" w:pos="720"/>
          <w:tab w:val="right" w:pos="9016"/>
        </w:tabs>
        <w:rPr>
          <w:b w:val="0"/>
          <w:bCs w:val="0"/>
          <w:noProof/>
          <w:sz w:val="22"/>
          <w:szCs w:val="22"/>
          <w:lang w:val="en-US"/>
        </w:rPr>
      </w:pPr>
      <w:hyperlink w:anchor="_Toc476983578" w:history="1">
        <w:r w:rsidR="00703DBB" w:rsidRPr="00F57DC3">
          <w:rPr>
            <w:rStyle w:val="Hyperlink"/>
            <w:noProof/>
            <w:lang w:eastAsia="en-GB"/>
          </w:rPr>
          <w:t>3.1.</w:t>
        </w:r>
        <w:r w:rsidR="00703DBB">
          <w:rPr>
            <w:b w:val="0"/>
            <w:bCs w:val="0"/>
            <w:noProof/>
            <w:sz w:val="22"/>
            <w:szCs w:val="22"/>
            <w:lang w:val="en-US"/>
          </w:rPr>
          <w:tab/>
        </w:r>
        <w:r w:rsidR="00703DBB" w:rsidRPr="00F57DC3">
          <w:rPr>
            <w:rStyle w:val="Hyperlink"/>
            <w:noProof/>
            <w:lang w:eastAsia="en-GB"/>
          </w:rPr>
          <w:t>Economic and Social Factors</w:t>
        </w:r>
        <w:r w:rsidR="00703DBB">
          <w:rPr>
            <w:noProof/>
            <w:webHidden/>
          </w:rPr>
          <w:tab/>
        </w:r>
        <w:r w:rsidR="00703DBB">
          <w:rPr>
            <w:noProof/>
            <w:webHidden/>
          </w:rPr>
          <w:fldChar w:fldCharType="begin"/>
        </w:r>
        <w:r w:rsidR="00703DBB">
          <w:rPr>
            <w:noProof/>
            <w:webHidden/>
          </w:rPr>
          <w:instrText xml:space="preserve"> PAGEREF _Toc476983578 \h </w:instrText>
        </w:r>
        <w:r w:rsidR="00703DBB">
          <w:rPr>
            <w:noProof/>
            <w:webHidden/>
          </w:rPr>
        </w:r>
        <w:r w:rsidR="00703DBB">
          <w:rPr>
            <w:noProof/>
            <w:webHidden/>
          </w:rPr>
          <w:fldChar w:fldCharType="separate"/>
        </w:r>
        <w:r w:rsidR="00703DBB">
          <w:rPr>
            <w:noProof/>
            <w:webHidden/>
          </w:rPr>
          <w:t>10</w:t>
        </w:r>
        <w:r w:rsidR="00703DBB">
          <w:rPr>
            <w:noProof/>
            <w:webHidden/>
          </w:rPr>
          <w:fldChar w:fldCharType="end"/>
        </w:r>
      </w:hyperlink>
    </w:p>
    <w:p w14:paraId="217569FC" w14:textId="3E5BD859" w:rsidR="00703DBB" w:rsidRDefault="00520302">
      <w:pPr>
        <w:pStyle w:val="TOC2"/>
        <w:tabs>
          <w:tab w:val="left" w:pos="720"/>
          <w:tab w:val="right" w:pos="9016"/>
        </w:tabs>
        <w:rPr>
          <w:b w:val="0"/>
          <w:bCs w:val="0"/>
          <w:noProof/>
          <w:sz w:val="22"/>
          <w:szCs w:val="22"/>
          <w:lang w:val="en-US"/>
        </w:rPr>
      </w:pPr>
      <w:hyperlink w:anchor="_Toc476983579" w:history="1">
        <w:r w:rsidR="00703DBB" w:rsidRPr="00F57DC3">
          <w:rPr>
            <w:rStyle w:val="Hyperlink"/>
            <w:noProof/>
            <w:lang w:eastAsia="en-GB"/>
          </w:rPr>
          <w:t>3.2.</w:t>
        </w:r>
        <w:r w:rsidR="00703DBB">
          <w:rPr>
            <w:b w:val="0"/>
            <w:bCs w:val="0"/>
            <w:noProof/>
            <w:sz w:val="22"/>
            <w:szCs w:val="22"/>
            <w:lang w:val="en-US"/>
          </w:rPr>
          <w:tab/>
        </w:r>
        <w:r w:rsidR="00703DBB" w:rsidRPr="00F57DC3">
          <w:rPr>
            <w:rStyle w:val="Hyperlink"/>
            <w:noProof/>
            <w:lang w:eastAsia="en-GB"/>
          </w:rPr>
          <w:t>Constitutional Protection of Child Rights</w:t>
        </w:r>
        <w:r w:rsidR="00703DBB">
          <w:rPr>
            <w:noProof/>
            <w:webHidden/>
          </w:rPr>
          <w:tab/>
        </w:r>
        <w:r w:rsidR="00703DBB">
          <w:rPr>
            <w:noProof/>
            <w:webHidden/>
          </w:rPr>
          <w:fldChar w:fldCharType="begin"/>
        </w:r>
        <w:r w:rsidR="00703DBB">
          <w:rPr>
            <w:noProof/>
            <w:webHidden/>
          </w:rPr>
          <w:instrText xml:space="preserve"> PAGEREF _Toc476983579 \h </w:instrText>
        </w:r>
        <w:r w:rsidR="00703DBB">
          <w:rPr>
            <w:noProof/>
            <w:webHidden/>
          </w:rPr>
        </w:r>
        <w:r w:rsidR="00703DBB">
          <w:rPr>
            <w:noProof/>
            <w:webHidden/>
          </w:rPr>
          <w:fldChar w:fldCharType="separate"/>
        </w:r>
        <w:r w:rsidR="00703DBB">
          <w:rPr>
            <w:noProof/>
            <w:webHidden/>
          </w:rPr>
          <w:t>12</w:t>
        </w:r>
        <w:r w:rsidR="00703DBB">
          <w:rPr>
            <w:noProof/>
            <w:webHidden/>
          </w:rPr>
          <w:fldChar w:fldCharType="end"/>
        </w:r>
      </w:hyperlink>
    </w:p>
    <w:p w14:paraId="306FA7CA" w14:textId="7DCBE46F" w:rsidR="00703DBB" w:rsidRDefault="00520302">
      <w:pPr>
        <w:pStyle w:val="TOC2"/>
        <w:tabs>
          <w:tab w:val="left" w:pos="720"/>
          <w:tab w:val="right" w:pos="9016"/>
        </w:tabs>
        <w:rPr>
          <w:b w:val="0"/>
          <w:bCs w:val="0"/>
          <w:noProof/>
          <w:sz w:val="22"/>
          <w:szCs w:val="22"/>
          <w:lang w:val="en-US"/>
        </w:rPr>
      </w:pPr>
      <w:hyperlink w:anchor="_Toc476983580" w:history="1">
        <w:r w:rsidR="00703DBB" w:rsidRPr="00F57DC3">
          <w:rPr>
            <w:rStyle w:val="Hyperlink"/>
            <w:noProof/>
            <w:lang w:eastAsia="en-GB"/>
          </w:rPr>
          <w:t>3.3.</w:t>
        </w:r>
        <w:r w:rsidR="00703DBB">
          <w:rPr>
            <w:b w:val="0"/>
            <w:bCs w:val="0"/>
            <w:noProof/>
            <w:sz w:val="22"/>
            <w:szCs w:val="22"/>
            <w:lang w:val="en-US"/>
          </w:rPr>
          <w:tab/>
        </w:r>
        <w:r w:rsidR="00703DBB" w:rsidRPr="00F57DC3">
          <w:rPr>
            <w:rStyle w:val="Hyperlink"/>
            <w:noProof/>
            <w:lang w:eastAsia="en-GB"/>
          </w:rPr>
          <w:t>The Policy Context of Child Rights</w:t>
        </w:r>
        <w:r w:rsidR="00703DBB">
          <w:rPr>
            <w:noProof/>
            <w:webHidden/>
          </w:rPr>
          <w:tab/>
        </w:r>
        <w:r w:rsidR="00703DBB">
          <w:rPr>
            <w:noProof/>
            <w:webHidden/>
          </w:rPr>
          <w:fldChar w:fldCharType="begin"/>
        </w:r>
        <w:r w:rsidR="00703DBB">
          <w:rPr>
            <w:noProof/>
            <w:webHidden/>
          </w:rPr>
          <w:instrText xml:space="preserve"> PAGEREF _Toc476983580 \h </w:instrText>
        </w:r>
        <w:r w:rsidR="00703DBB">
          <w:rPr>
            <w:noProof/>
            <w:webHidden/>
          </w:rPr>
        </w:r>
        <w:r w:rsidR="00703DBB">
          <w:rPr>
            <w:noProof/>
            <w:webHidden/>
          </w:rPr>
          <w:fldChar w:fldCharType="separate"/>
        </w:r>
        <w:r w:rsidR="00703DBB">
          <w:rPr>
            <w:noProof/>
            <w:webHidden/>
          </w:rPr>
          <w:t>13</w:t>
        </w:r>
        <w:r w:rsidR="00703DBB">
          <w:rPr>
            <w:noProof/>
            <w:webHidden/>
          </w:rPr>
          <w:fldChar w:fldCharType="end"/>
        </w:r>
      </w:hyperlink>
    </w:p>
    <w:p w14:paraId="4684AF8C" w14:textId="70ED91E8" w:rsidR="00703DBB" w:rsidRDefault="00520302">
      <w:pPr>
        <w:pStyle w:val="TOC1"/>
        <w:tabs>
          <w:tab w:val="left" w:pos="480"/>
          <w:tab w:val="right" w:pos="9016"/>
        </w:tabs>
        <w:rPr>
          <w:rFonts w:asciiTheme="minorHAnsi" w:hAnsiTheme="minorHAnsi"/>
          <w:b w:val="0"/>
          <w:bCs w:val="0"/>
          <w:caps w:val="0"/>
          <w:noProof/>
          <w:sz w:val="22"/>
          <w:szCs w:val="22"/>
          <w:lang w:val="en-US"/>
        </w:rPr>
      </w:pPr>
      <w:hyperlink w:anchor="_Toc476983581" w:history="1">
        <w:r w:rsidR="00703DBB" w:rsidRPr="00F57DC3">
          <w:rPr>
            <w:rStyle w:val="Hyperlink"/>
            <w:rFonts w:eastAsia="Times New Roman"/>
            <w:noProof/>
            <w:lang w:eastAsia="en-GB"/>
          </w:rPr>
          <w:t>4.</w:t>
        </w:r>
        <w:r w:rsidR="00703DBB">
          <w:rPr>
            <w:rFonts w:asciiTheme="minorHAnsi" w:hAnsiTheme="minorHAnsi"/>
            <w:b w:val="0"/>
            <w:bCs w:val="0"/>
            <w:caps w:val="0"/>
            <w:noProof/>
            <w:sz w:val="22"/>
            <w:szCs w:val="22"/>
            <w:lang w:val="en-US"/>
          </w:rPr>
          <w:tab/>
        </w:r>
        <w:r w:rsidR="00703DBB" w:rsidRPr="00F57DC3">
          <w:rPr>
            <w:rStyle w:val="Hyperlink"/>
            <w:rFonts w:eastAsia="Times New Roman"/>
            <w:noProof/>
            <w:lang w:eastAsia="en-GB"/>
          </w:rPr>
          <w:t>Child Rights in the SADC Context</w:t>
        </w:r>
        <w:r w:rsidR="00703DBB">
          <w:rPr>
            <w:noProof/>
            <w:webHidden/>
          </w:rPr>
          <w:tab/>
        </w:r>
        <w:r w:rsidR="00703DBB">
          <w:rPr>
            <w:noProof/>
            <w:webHidden/>
          </w:rPr>
          <w:fldChar w:fldCharType="begin"/>
        </w:r>
        <w:r w:rsidR="00703DBB">
          <w:rPr>
            <w:noProof/>
            <w:webHidden/>
          </w:rPr>
          <w:instrText xml:space="preserve"> PAGEREF _Toc476983581 \h </w:instrText>
        </w:r>
        <w:r w:rsidR="00703DBB">
          <w:rPr>
            <w:noProof/>
            <w:webHidden/>
          </w:rPr>
        </w:r>
        <w:r w:rsidR="00703DBB">
          <w:rPr>
            <w:noProof/>
            <w:webHidden/>
          </w:rPr>
          <w:fldChar w:fldCharType="separate"/>
        </w:r>
        <w:r w:rsidR="00703DBB">
          <w:rPr>
            <w:noProof/>
            <w:webHidden/>
          </w:rPr>
          <w:t>17</w:t>
        </w:r>
        <w:r w:rsidR="00703DBB">
          <w:rPr>
            <w:noProof/>
            <w:webHidden/>
          </w:rPr>
          <w:fldChar w:fldCharType="end"/>
        </w:r>
      </w:hyperlink>
    </w:p>
    <w:p w14:paraId="6B4F6C6B" w14:textId="1CFADFDB" w:rsidR="00703DBB" w:rsidRDefault="00520302">
      <w:pPr>
        <w:pStyle w:val="TOC2"/>
        <w:tabs>
          <w:tab w:val="left" w:pos="720"/>
          <w:tab w:val="right" w:pos="9016"/>
        </w:tabs>
        <w:rPr>
          <w:b w:val="0"/>
          <w:bCs w:val="0"/>
          <w:noProof/>
          <w:sz w:val="22"/>
          <w:szCs w:val="22"/>
          <w:lang w:val="en-US"/>
        </w:rPr>
      </w:pPr>
      <w:hyperlink w:anchor="_Toc476983582" w:history="1">
        <w:r w:rsidR="00703DBB" w:rsidRPr="00F57DC3">
          <w:rPr>
            <w:rStyle w:val="Hyperlink"/>
            <w:noProof/>
          </w:rPr>
          <w:t>4.1.</w:t>
        </w:r>
        <w:r w:rsidR="00703DBB">
          <w:rPr>
            <w:b w:val="0"/>
            <w:bCs w:val="0"/>
            <w:noProof/>
            <w:sz w:val="22"/>
            <w:szCs w:val="22"/>
            <w:lang w:val="en-US"/>
          </w:rPr>
          <w:tab/>
        </w:r>
        <w:r w:rsidR="00703DBB" w:rsidRPr="00F57DC3">
          <w:rPr>
            <w:rStyle w:val="Hyperlink"/>
            <w:noProof/>
          </w:rPr>
          <w:t>Harmful Cultural Practices</w:t>
        </w:r>
        <w:r w:rsidR="00703DBB">
          <w:rPr>
            <w:noProof/>
            <w:webHidden/>
          </w:rPr>
          <w:tab/>
        </w:r>
        <w:r w:rsidR="00703DBB">
          <w:rPr>
            <w:noProof/>
            <w:webHidden/>
          </w:rPr>
          <w:fldChar w:fldCharType="begin"/>
        </w:r>
        <w:r w:rsidR="00703DBB">
          <w:rPr>
            <w:noProof/>
            <w:webHidden/>
          </w:rPr>
          <w:instrText xml:space="preserve"> PAGEREF _Toc476983582 \h </w:instrText>
        </w:r>
        <w:r w:rsidR="00703DBB">
          <w:rPr>
            <w:noProof/>
            <w:webHidden/>
          </w:rPr>
        </w:r>
        <w:r w:rsidR="00703DBB">
          <w:rPr>
            <w:noProof/>
            <w:webHidden/>
          </w:rPr>
          <w:fldChar w:fldCharType="separate"/>
        </w:r>
        <w:r w:rsidR="00703DBB">
          <w:rPr>
            <w:noProof/>
            <w:webHidden/>
          </w:rPr>
          <w:t>18</w:t>
        </w:r>
        <w:r w:rsidR="00703DBB">
          <w:rPr>
            <w:noProof/>
            <w:webHidden/>
          </w:rPr>
          <w:fldChar w:fldCharType="end"/>
        </w:r>
      </w:hyperlink>
    </w:p>
    <w:p w14:paraId="60FF278D" w14:textId="32F682E8" w:rsidR="00703DBB" w:rsidRDefault="00520302">
      <w:pPr>
        <w:pStyle w:val="TOC2"/>
        <w:tabs>
          <w:tab w:val="left" w:pos="720"/>
          <w:tab w:val="right" w:pos="9016"/>
        </w:tabs>
        <w:rPr>
          <w:b w:val="0"/>
          <w:bCs w:val="0"/>
          <w:noProof/>
          <w:sz w:val="22"/>
          <w:szCs w:val="22"/>
          <w:lang w:val="en-US"/>
        </w:rPr>
      </w:pPr>
      <w:hyperlink w:anchor="_Toc476983583" w:history="1">
        <w:r w:rsidR="00703DBB" w:rsidRPr="00F57DC3">
          <w:rPr>
            <w:rStyle w:val="Hyperlink"/>
            <w:noProof/>
          </w:rPr>
          <w:t>4.2.</w:t>
        </w:r>
        <w:r w:rsidR="00703DBB">
          <w:rPr>
            <w:b w:val="0"/>
            <w:bCs w:val="0"/>
            <w:noProof/>
            <w:sz w:val="22"/>
            <w:szCs w:val="22"/>
            <w:lang w:val="en-US"/>
          </w:rPr>
          <w:tab/>
        </w:r>
        <w:r w:rsidR="00703DBB" w:rsidRPr="00F57DC3">
          <w:rPr>
            <w:rStyle w:val="Hyperlink"/>
            <w:noProof/>
          </w:rPr>
          <w:t>Child Sexual Abuse</w:t>
        </w:r>
        <w:r w:rsidR="00703DBB">
          <w:rPr>
            <w:noProof/>
            <w:webHidden/>
          </w:rPr>
          <w:tab/>
        </w:r>
        <w:r w:rsidR="00703DBB">
          <w:rPr>
            <w:noProof/>
            <w:webHidden/>
          </w:rPr>
          <w:fldChar w:fldCharType="begin"/>
        </w:r>
        <w:r w:rsidR="00703DBB">
          <w:rPr>
            <w:noProof/>
            <w:webHidden/>
          </w:rPr>
          <w:instrText xml:space="preserve"> PAGEREF _Toc476983583 \h </w:instrText>
        </w:r>
        <w:r w:rsidR="00703DBB">
          <w:rPr>
            <w:noProof/>
            <w:webHidden/>
          </w:rPr>
        </w:r>
        <w:r w:rsidR="00703DBB">
          <w:rPr>
            <w:noProof/>
            <w:webHidden/>
          </w:rPr>
          <w:fldChar w:fldCharType="separate"/>
        </w:r>
        <w:r w:rsidR="00703DBB">
          <w:rPr>
            <w:noProof/>
            <w:webHidden/>
          </w:rPr>
          <w:t>19</w:t>
        </w:r>
        <w:r w:rsidR="00703DBB">
          <w:rPr>
            <w:noProof/>
            <w:webHidden/>
          </w:rPr>
          <w:fldChar w:fldCharType="end"/>
        </w:r>
      </w:hyperlink>
    </w:p>
    <w:p w14:paraId="379D2E9B" w14:textId="7E872C9E" w:rsidR="00703DBB" w:rsidRDefault="00520302">
      <w:pPr>
        <w:pStyle w:val="TOC2"/>
        <w:tabs>
          <w:tab w:val="left" w:pos="720"/>
          <w:tab w:val="right" w:pos="9016"/>
        </w:tabs>
        <w:rPr>
          <w:b w:val="0"/>
          <w:bCs w:val="0"/>
          <w:noProof/>
          <w:sz w:val="22"/>
          <w:szCs w:val="22"/>
          <w:lang w:val="en-US"/>
        </w:rPr>
      </w:pPr>
      <w:hyperlink w:anchor="_Toc476983584" w:history="1">
        <w:r w:rsidR="00703DBB" w:rsidRPr="00F57DC3">
          <w:rPr>
            <w:rStyle w:val="Hyperlink"/>
            <w:noProof/>
          </w:rPr>
          <w:t>4.3.</w:t>
        </w:r>
        <w:r w:rsidR="00703DBB">
          <w:rPr>
            <w:b w:val="0"/>
            <w:bCs w:val="0"/>
            <w:noProof/>
            <w:sz w:val="22"/>
            <w:szCs w:val="22"/>
            <w:lang w:val="en-US"/>
          </w:rPr>
          <w:tab/>
        </w:r>
        <w:r w:rsidR="00703DBB" w:rsidRPr="00F57DC3">
          <w:rPr>
            <w:rStyle w:val="Hyperlink"/>
            <w:noProof/>
          </w:rPr>
          <w:t>Access to Quality Education</w:t>
        </w:r>
        <w:r w:rsidR="00703DBB">
          <w:rPr>
            <w:noProof/>
            <w:webHidden/>
          </w:rPr>
          <w:tab/>
        </w:r>
        <w:r w:rsidR="00703DBB">
          <w:rPr>
            <w:noProof/>
            <w:webHidden/>
          </w:rPr>
          <w:fldChar w:fldCharType="begin"/>
        </w:r>
        <w:r w:rsidR="00703DBB">
          <w:rPr>
            <w:noProof/>
            <w:webHidden/>
          </w:rPr>
          <w:instrText xml:space="preserve"> PAGEREF _Toc476983584 \h </w:instrText>
        </w:r>
        <w:r w:rsidR="00703DBB">
          <w:rPr>
            <w:noProof/>
            <w:webHidden/>
          </w:rPr>
        </w:r>
        <w:r w:rsidR="00703DBB">
          <w:rPr>
            <w:noProof/>
            <w:webHidden/>
          </w:rPr>
          <w:fldChar w:fldCharType="separate"/>
        </w:r>
        <w:r w:rsidR="00703DBB">
          <w:rPr>
            <w:noProof/>
            <w:webHidden/>
          </w:rPr>
          <w:t>19</w:t>
        </w:r>
        <w:r w:rsidR="00703DBB">
          <w:rPr>
            <w:noProof/>
            <w:webHidden/>
          </w:rPr>
          <w:fldChar w:fldCharType="end"/>
        </w:r>
      </w:hyperlink>
    </w:p>
    <w:p w14:paraId="2411B6BE" w14:textId="406C917D" w:rsidR="00703DBB" w:rsidRDefault="00520302">
      <w:pPr>
        <w:pStyle w:val="TOC2"/>
        <w:tabs>
          <w:tab w:val="left" w:pos="720"/>
          <w:tab w:val="right" w:pos="9016"/>
        </w:tabs>
        <w:rPr>
          <w:b w:val="0"/>
          <w:bCs w:val="0"/>
          <w:noProof/>
          <w:sz w:val="22"/>
          <w:szCs w:val="22"/>
          <w:lang w:val="en-US"/>
        </w:rPr>
      </w:pPr>
      <w:hyperlink w:anchor="_Toc476983585" w:history="1">
        <w:r w:rsidR="00703DBB" w:rsidRPr="00F57DC3">
          <w:rPr>
            <w:rStyle w:val="Hyperlink"/>
            <w:noProof/>
          </w:rPr>
          <w:t>4.4.</w:t>
        </w:r>
        <w:r w:rsidR="00703DBB">
          <w:rPr>
            <w:b w:val="0"/>
            <w:bCs w:val="0"/>
            <w:noProof/>
            <w:sz w:val="22"/>
            <w:szCs w:val="22"/>
            <w:lang w:val="en-US"/>
          </w:rPr>
          <w:tab/>
        </w:r>
        <w:r w:rsidR="00703DBB" w:rsidRPr="00F57DC3">
          <w:rPr>
            <w:rStyle w:val="Hyperlink"/>
            <w:noProof/>
          </w:rPr>
          <w:t>Social Protection or Child Poverty</w:t>
        </w:r>
        <w:r w:rsidR="00703DBB">
          <w:rPr>
            <w:noProof/>
            <w:webHidden/>
          </w:rPr>
          <w:tab/>
        </w:r>
        <w:r w:rsidR="00703DBB">
          <w:rPr>
            <w:noProof/>
            <w:webHidden/>
          </w:rPr>
          <w:fldChar w:fldCharType="begin"/>
        </w:r>
        <w:r w:rsidR="00703DBB">
          <w:rPr>
            <w:noProof/>
            <w:webHidden/>
          </w:rPr>
          <w:instrText xml:space="preserve"> PAGEREF _Toc476983585 \h </w:instrText>
        </w:r>
        <w:r w:rsidR="00703DBB">
          <w:rPr>
            <w:noProof/>
            <w:webHidden/>
          </w:rPr>
        </w:r>
        <w:r w:rsidR="00703DBB">
          <w:rPr>
            <w:noProof/>
            <w:webHidden/>
          </w:rPr>
          <w:fldChar w:fldCharType="separate"/>
        </w:r>
        <w:r w:rsidR="00703DBB">
          <w:rPr>
            <w:noProof/>
            <w:webHidden/>
          </w:rPr>
          <w:t>20</w:t>
        </w:r>
        <w:r w:rsidR="00703DBB">
          <w:rPr>
            <w:noProof/>
            <w:webHidden/>
          </w:rPr>
          <w:fldChar w:fldCharType="end"/>
        </w:r>
      </w:hyperlink>
    </w:p>
    <w:p w14:paraId="569C66F9" w14:textId="2E468E25" w:rsidR="00703DBB" w:rsidRDefault="00520302">
      <w:pPr>
        <w:pStyle w:val="TOC2"/>
        <w:tabs>
          <w:tab w:val="left" w:pos="720"/>
          <w:tab w:val="right" w:pos="9016"/>
        </w:tabs>
        <w:rPr>
          <w:b w:val="0"/>
          <w:bCs w:val="0"/>
          <w:noProof/>
          <w:sz w:val="22"/>
          <w:szCs w:val="22"/>
          <w:lang w:val="en-US"/>
        </w:rPr>
      </w:pPr>
      <w:hyperlink w:anchor="_Toc476983586" w:history="1">
        <w:r w:rsidR="00703DBB" w:rsidRPr="00F57DC3">
          <w:rPr>
            <w:rStyle w:val="Hyperlink"/>
            <w:noProof/>
          </w:rPr>
          <w:t>4.5.</w:t>
        </w:r>
        <w:r w:rsidR="00703DBB">
          <w:rPr>
            <w:b w:val="0"/>
            <w:bCs w:val="0"/>
            <w:noProof/>
            <w:sz w:val="22"/>
            <w:szCs w:val="22"/>
            <w:lang w:val="en-US"/>
          </w:rPr>
          <w:tab/>
        </w:r>
        <w:r w:rsidR="00703DBB" w:rsidRPr="00F57DC3">
          <w:rPr>
            <w:rStyle w:val="Hyperlink"/>
            <w:noProof/>
          </w:rPr>
          <w:t>Need for Child Friendly Budgets</w:t>
        </w:r>
        <w:r w:rsidR="00703DBB">
          <w:rPr>
            <w:noProof/>
            <w:webHidden/>
          </w:rPr>
          <w:tab/>
        </w:r>
        <w:r w:rsidR="00703DBB">
          <w:rPr>
            <w:noProof/>
            <w:webHidden/>
          </w:rPr>
          <w:fldChar w:fldCharType="begin"/>
        </w:r>
        <w:r w:rsidR="00703DBB">
          <w:rPr>
            <w:noProof/>
            <w:webHidden/>
          </w:rPr>
          <w:instrText xml:space="preserve"> PAGEREF _Toc476983586 \h </w:instrText>
        </w:r>
        <w:r w:rsidR="00703DBB">
          <w:rPr>
            <w:noProof/>
            <w:webHidden/>
          </w:rPr>
        </w:r>
        <w:r w:rsidR="00703DBB">
          <w:rPr>
            <w:noProof/>
            <w:webHidden/>
          </w:rPr>
          <w:fldChar w:fldCharType="separate"/>
        </w:r>
        <w:r w:rsidR="00703DBB">
          <w:rPr>
            <w:noProof/>
            <w:webHidden/>
          </w:rPr>
          <w:t>20</w:t>
        </w:r>
        <w:r w:rsidR="00703DBB">
          <w:rPr>
            <w:noProof/>
            <w:webHidden/>
          </w:rPr>
          <w:fldChar w:fldCharType="end"/>
        </w:r>
      </w:hyperlink>
    </w:p>
    <w:p w14:paraId="49273107" w14:textId="201ADE26" w:rsidR="00703DBB" w:rsidRDefault="00520302">
      <w:pPr>
        <w:pStyle w:val="TOC2"/>
        <w:tabs>
          <w:tab w:val="left" w:pos="720"/>
          <w:tab w:val="right" w:pos="9016"/>
        </w:tabs>
        <w:rPr>
          <w:b w:val="0"/>
          <w:bCs w:val="0"/>
          <w:noProof/>
          <w:sz w:val="22"/>
          <w:szCs w:val="22"/>
          <w:lang w:val="en-US"/>
        </w:rPr>
      </w:pPr>
      <w:hyperlink w:anchor="_Toc476983587" w:history="1">
        <w:r w:rsidR="00703DBB" w:rsidRPr="00F57DC3">
          <w:rPr>
            <w:rStyle w:val="Hyperlink"/>
            <w:noProof/>
          </w:rPr>
          <w:t>4.6.</w:t>
        </w:r>
        <w:r w:rsidR="00703DBB">
          <w:rPr>
            <w:b w:val="0"/>
            <w:bCs w:val="0"/>
            <w:noProof/>
            <w:sz w:val="22"/>
            <w:szCs w:val="22"/>
            <w:lang w:val="en-US"/>
          </w:rPr>
          <w:tab/>
        </w:r>
        <w:r w:rsidR="00703DBB" w:rsidRPr="00F57DC3">
          <w:rPr>
            <w:rStyle w:val="Hyperlink"/>
            <w:noProof/>
          </w:rPr>
          <w:t>Access to Affordable Health Care Liked With HIV/AIDS</w:t>
        </w:r>
        <w:r w:rsidR="00703DBB">
          <w:rPr>
            <w:noProof/>
            <w:webHidden/>
          </w:rPr>
          <w:tab/>
        </w:r>
        <w:r w:rsidR="00703DBB">
          <w:rPr>
            <w:noProof/>
            <w:webHidden/>
          </w:rPr>
          <w:fldChar w:fldCharType="begin"/>
        </w:r>
        <w:r w:rsidR="00703DBB">
          <w:rPr>
            <w:noProof/>
            <w:webHidden/>
          </w:rPr>
          <w:instrText xml:space="preserve"> PAGEREF _Toc476983587 \h </w:instrText>
        </w:r>
        <w:r w:rsidR="00703DBB">
          <w:rPr>
            <w:noProof/>
            <w:webHidden/>
          </w:rPr>
        </w:r>
        <w:r w:rsidR="00703DBB">
          <w:rPr>
            <w:noProof/>
            <w:webHidden/>
          </w:rPr>
          <w:fldChar w:fldCharType="separate"/>
        </w:r>
        <w:r w:rsidR="00703DBB">
          <w:rPr>
            <w:noProof/>
            <w:webHidden/>
          </w:rPr>
          <w:t>20</w:t>
        </w:r>
        <w:r w:rsidR="00703DBB">
          <w:rPr>
            <w:noProof/>
            <w:webHidden/>
          </w:rPr>
          <w:fldChar w:fldCharType="end"/>
        </w:r>
      </w:hyperlink>
    </w:p>
    <w:p w14:paraId="7F90B9D3" w14:textId="02046986" w:rsidR="00703DBB" w:rsidRDefault="00520302">
      <w:pPr>
        <w:pStyle w:val="TOC1"/>
        <w:tabs>
          <w:tab w:val="left" w:pos="480"/>
          <w:tab w:val="right" w:pos="9016"/>
        </w:tabs>
        <w:rPr>
          <w:rFonts w:asciiTheme="minorHAnsi" w:hAnsiTheme="minorHAnsi"/>
          <w:b w:val="0"/>
          <w:bCs w:val="0"/>
          <w:caps w:val="0"/>
          <w:noProof/>
          <w:sz w:val="22"/>
          <w:szCs w:val="22"/>
          <w:lang w:val="en-US"/>
        </w:rPr>
      </w:pPr>
      <w:hyperlink w:anchor="_Toc476983588" w:history="1">
        <w:r w:rsidR="00703DBB" w:rsidRPr="00F57DC3">
          <w:rPr>
            <w:rStyle w:val="Hyperlink"/>
            <w:rFonts w:eastAsia="Times New Roman"/>
            <w:noProof/>
            <w:lang w:eastAsia="en-GB"/>
          </w:rPr>
          <w:t>5.</w:t>
        </w:r>
        <w:r w:rsidR="00703DBB">
          <w:rPr>
            <w:rFonts w:asciiTheme="minorHAnsi" w:hAnsiTheme="minorHAnsi"/>
            <w:b w:val="0"/>
            <w:bCs w:val="0"/>
            <w:caps w:val="0"/>
            <w:noProof/>
            <w:sz w:val="22"/>
            <w:szCs w:val="22"/>
            <w:lang w:val="en-US"/>
          </w:rPr>
          <w:tab/>
        </w:r>
        <w:r w:rsidR="00703DBB" w:rsidRPr="00F57DC3">
          <w:rPr>
            <w:rStyle w:val="Hyperlink"/>
            <w:rFonts w:eastAsia="Times New Roman"/>
            <w:noProof/>
            <w:lang w:eastAsia="en-GB"/>
          </w:rPr>
          <w:t>CSO Enabling Environment</w:t>
        </w:r>
        <w:r w:rsidR="00703DBB">
          <w:rPr>
            <w:noProof/>
            <w:webHidden/>
          </w:rPr>
          <w:tab/>
        </w:r>
        <w:r w:rsidR="00703DBB">
          <w:rPr>
            <w:noProof/>
            <w:webHidden/>
          </w:rPr>
          <w:fldChar w:fldCharType="begin"/>
        </w:r>
        <w:r w:rsidR="00703DBB">
          <w:rPr>
            <w:noProof/>
            <w:webHidden/>
          </w:rPr>
          <w:instrText xml:space="preserve"> PAGEREF _Toc476983588 \h </w:instrText>
        </w:r>
        <w:r w:rsidR="00703DBB">
          <w:rPr>
            <w:noProof/>
            <w:webHidden/>
          </w:rPr>
        </w:r>
        <w:r w:rsidR="00703DBB">
          <w:rPr>
            <w:noProof/>
            <w:webHidden/>
          </w:rPr>
          <w:fldChar w:fldCharType="separate"/>
        </w:r>
        <w:r w:rsidR="00703DBB">
          <w:rPr>
            <w:noProof/>
            <w:webHidden/>
          </w:rPr>
          <w:t>22</w:t>
        </w:r>
        <w:r w:rsidR="00703DBB">
          <w:rPr>
            <w:noProof/>
            <w:webHidden/>
          </w:rPr>
          <w:fldChar w:fldCharType="end"/>
        </w:r>
      </w:hyperlink>
    </w:p>
    <w:p w14:paraId="6E35BD26" w14:textId="6DB93D20" w:rsidR="00703DBB" w:rsidRDefault="00520302">
      <w:pPr>
        <w:pStyle w:val="TOC1"/>
        <w:tabs>
          <w:tab w:val="left" w:pos="480"/>
          <w:tab w:val="right" w:pos="9016"/>
        </w:tabs>
        <w:rPr>
          <w:rFonts w:asciiTheme="minorHAnsi" w:hAnsiTheme="minorHAnsi"/>
          <w:b w:val="0"/>
          <w:bCs w:val="0"/>
          <w:caps w:val="0"/>
          <w:noProof/>
          <w:sz w:val="22"/>
          <w:szCs w:val="22"/>
          <w:lang w:val="en-US"/>
        </w:rPr>
      </w:pPr>
      <w:hyperlink w:anchor="_Toc476983589" w:history="1">
        <w:r w:rsidR="00703DBB" w:rsidRPr="00F57DC3">
          <w:rPr>
            <w:rStyle w:val="Hyperlink"/>
            <w:rFonts w:eastAsia="Times New Roman"/>
            <w:noProof/>
            <w:lang w:eastAsia="en-GB"/>
          </w:rPr>
          <w:t>6.</w:t>
        </w:r>
        <w:r w:rsidR="00703DBB">
          <w:rPr>
            <w:rFonts w:asciiTheme="minorHAnsi" w:hAnsiTheme="minorHAnsi"/>
            <w:b w:val="0"/>
            <w:bCs w:val="0"/>
            <w:caps w:val="0"/>
            <w:noProof/>
            <w:sz w:val="22"/>
            <w:szCs w:val="22"/>
            <w:lang w:val="en-US"/>
          </w:rPr>
          <w:tab/>
        </w:r>
        <w:r w:rsidR="00703DBB" w:rsidRPr="00F57DC3">
          <w:rPr>
            <w:rStyle w:val="Hyperlink"/>
            <w:rFonts w:eastAsia="Times New Roman"/>
            <w:noProof/>
            <w:lang w:eastAsia="en-GB"/>
          </w:rPr>
          <w:t>Child Rights in South Africa: Findings and Recommendations</w:t>
        </w:r>
        <w:r w:rsidR="00703DBB">
          <w:rPr>
            <w:noProof/>
            <w:webHidden/>
          </w:rPr>
          <w:tab/>
        </w:r>
        <w:r w:rsidR="00703DBB">
          <w:rPr>
            <w:noProof/>
            <w:webHidden/>
          </w:rPr>
          <w:fldChar w:fldCharType="begin"/>
        </w:r>
        <w:r w:rsidR="00703DBB">
          <w:rPr>
            <w:noProof/>
            <w:webHidden/>
          </w:rPr>
          <w:instrText xml:space="preserve"> PAGEREF _Toc476983589 \h </w:instrText>
        </w:r>
        <w:r w:rsidR="00703DBB">
          <w:rPr>
            <w:noProof/>
            <w:webHidden/>
          </w:rPr>
        </w:r>
        <w:r w:rsidR="00703DBB">
          <w:rPr>
            <w:noProof/>
            <w:webHidden/>
          </w:rPr>
          <w:fldChar w:fldCharType="separate"/>
        </w:r>
        <w:r w:rsidR="00703DBB">
          <w:rPr>
            <w:noProof/>
            <w:webHidden/>
          </w:rPr>
          <w:t>26</w:t>
        </w:r>
        <w:r w:rsidR="00703DBB">
          <w:rPr>
            <w:noProof/>
            <w:webHidden/>
          </w:rPr>
          <w:fldChar w:fldCharType="end"/>
        </w:r>
      </w:hyperlink>
    </w:p>
    <w:p w14:paraId="1EA6516B" w14:textId="374ACB78" w:rsidR="00703DBB" w:rsidRDefault="00520302">
      <w:pPr>
        <w:pStyle w:val="TOC2"/>
        <w:tabs>
          <w:tab w:val="left" w:pos="720"/>
          <w:tab w:val="right" w:pos="9016"/>
        </w:tabs>
        <w:rPr>
          <w:b w:val="0"/>
          <w:bCs w:val="0"/>
          <w:noProof/>
          <w:sz w:val="22"/>
          <w:szCs w:val="22"/>
          <w:lang w:val="en-US"/>
        </w:rPr>
      </w:pPr>
      <w:hyperlink w:anchor="_Toc476983590" w:history="1">
        <w:r w:rsidR="00703DBB" w:rsidRPr="00F57DC3">
          <w:rPr>
            <w:rStyle w:val="Hyperlink"/>
            <w:noProof/>
          </w:rPr>
          <w:t>6.1.</w:t>
        </w:r>
        <w:r w:rsidR="00703DBB">
          <w:rPr>
            <w:b w:val="0"/>
            <w:bCs w:val="0"/>
            <w:noProof/>
            <w:sz w:val="22"/>
            <w:szCs w:val="22"/>
            <w:lang w:val="en-US"/>
          </w:rPr>
          <w:tab/>
        </w:r>
        <w:r w:rsidR="00703DBB" w:rsidRPr="00F57DC3">
          <w:rPr>
            <w:rStyle w:val="Hyperlink"/>
            <w:noProof/>
          </w:rPr>
          <w:t>Child Rights in the Constitution of South Africa</w:t>
        </w:r>
        <w:r w:rsidR="00703DBB">
          <w:rPr>
            <w:noProof/>
            <w:webHidden/>
          </w:rPr>
          <w:tab/>
        </w:r>
        <w:r w:rsidR="00703DBB">
          <w:rPr>
            <w:noProof/>
            <w:webHidden/>
          </w:rPr>
          <w:fldChar w:fldCharType="begin"/>
        </w:r>
        <w:r w:rsidR="00703DBB">
          <w:rPr>
            <w:noProof/>
            <w:webHidden/>
          </w:rPr>
          <w:instrText xml:space="preserve"> PAGEREF _Toc476983590 \h </w:instrText>
        </w:r>
        <w:r w:rsidR="00703DBB">
          <w:rPr>
            <w:noProof/>
            <w:webHidden/>
          </w:rPr>
        </w:r>
        <w:r w:rsidR="00703DBB">
          <w:rPr>
            <w:noProof/>
            <w:webHidden/>
          </w:rPr>
          <w:fldChar w:fldCharType="separate"/>
        </w:r>
        <w:r w:rsidR="00703DBB">
          <w:rPr>
            <w:noProof/>
            <w:webHidden/>
          </w:rPr>
          <w:t>26</w:t>
        </w:r>
        <w:r w:rsidR="00703DBB">
          <w:rPr>
            <w:noProof/>
            <w:webHidden/>
          </w:rPr>
          <w:fldChar w:fldCharType="end"/>
        </w:r>
      </w:hyperlink>
    </w:p>
    <w:p w14:paraId="6D8E3E06" w14:textId="610D0A26" w:rsidR="00703DBB" w:rsidRDefault="00520302">
      <w:pPr>
        <w:pStyle w:val="TOC2"/>
        <w:tabs>
          <w:tab w:val="left" w:pos="720"/>
          <w:tab w:val="right" w:pos="9016"/>
        </w:tabs>
        <w:rPr>
          <w:b w:val="0"/>
          <w:bCs w:val="0"/>
          <w:noProof/>
          <w:sz w:val="22"/>
          <w:szCs w:val="22"/>
          <w:lang w:val="en-US"/>
        </w:rPr>
      </w:pPr>
      <w:hyperlink w:anchor="_Toc476983591" w:history="1">
        <w:r w:rsidR="00703DBB" w:rsidRPr="00F57DC3">
          <w:rPr>
            <w:rStyle w:val="Hyperlink"/>
            <w:noProof/>
          </w:rPr>
          <w:t>6.2.</w:t>
        </w:r>
        <w:r w:rsidR="00703DBB">
          <w:rPr>
            <w:b w:val="0"/>
            <w:bCs w:val="0"/>
            <w:noProof/>
            <w:sz w:val="22"/>
            <w:szCs w:val="22"/>
            <w:lang w:val="en-US"/>
          </w:rPr>
          <w:tab/>
        </w:r>
        <w:r w:rsidR="00703DBB" w:rsidRPr="00F57DC3">
          <w:rPr>
            <w:rStyle w:val="Hyperlink"/>
            <w:noProof/>
          </w:rPr>
          <w:t>Child Support Grants</w:t>
        </w:r>
        <w:r w:rsidR="00703DBB">
          <w:rPr>
            <w:noProof/>
            <w:webHidden/>
          </w:rPr>
          <w:tab/>
        </w:r>
        <w:r w:rsidR="00703DBB">
          <w:rPr>
            <w:noProof/>
            <w:webHidden/>
          </w:rPr>
          <w:fldChar w:fldCharType="begin"/>
        </w:r>
        <w:r w:rsidR="00703DBB">
          <w:rPr>
            <w:noProof/>
            <w:webHidden/>
          </w:rPr>
          <w:instrText xml:space="preserve"> PAGEREF _Toc476983591 \h </w:instrText>
        </w:r>
        <w:r w:rsidR="00703DBB">
          <w:rPr>
            <w:noProof/>
            <w:webHidden/>
          </w:rPr>
        </w:r>
        <w:r w:rsidR="00703DBB">
          <w:rPr>
            <w:noProof/>
            <w:webHidden/>
          </w:rPr>
          <w:fldChar w:fldCharType="separate"/>
        </w:r>
        <w:r w:rsidR="00703DBB">
          <w:rPr>
            <w:noProof/>
            <w:webHidden/>
          </w:rPr>
          <w:t>26</w:t>
        </w:r>
        <w:r w:rsidR="00703DBB">
          <w:rPr>
            <w:noProof/>
            <w:webHidden/>
          </w:rPr>
          <w:fldChar w:fldCharType="end"/>
        </w:r>
      </w:hyperlink>
    </w:p>
    <w:p w14:paraId="04EE6950" w14:textId="33695FE5" w:rsidR="00703DBB" w:rsidRDefault="00520302">
      <w:pPr>
        <w:pStyle w:val="TOC2"/>
        <w:tabs>
          <w:tab w:val="left" w:pos="720"/>
          <w:tab w:val="right" w:pos="9016"/>
        </w:tabs>
        <w:rPr>
          <w:b w:val="0"/>
          <w:bCs w:val="0"/>
          <w:noProof/>
          <w:sz w:val="22"/>
          <w:szCs w:val="22"/>
          <w:lang w:val="en-US"/>
        </w:rPr>
      </w:pPr>
      <w:hyperlink w:anchor="_Toc476983592" w:history="1">
        <w:r w:rsidR="00703DBB" w:rsidRPr="00F57DC3">
          <w:rPr>
            <w:rStyle w:val="Hyperlink"/>
            <w:noProof/>
          </w:rPr>
          <w:t>6.3.</w:t>
        </w:r>
        <w:r w:rsidR="00703DBB">
          <w:rPr>
            <w:b w:val="0"/>
            <w:bCs w:val="0"/>
            <w:noProof/>
            <w:sz w:val="22"/>
            <w:szCs w:val="22"/>
            <w:lang w:val="en-US"/>
          </w:rPr>
          <w:tab/>
        </w:r>
        <w:r w:rsidR="00703DBB" w:rsidRPr="00F57DC3">
          <w:rPr>
            <w:rStyle w:val="Hyperlink"/>
            <w:noProof/>
          </w:rPr>
          <w:t>United Nations Committee on the Rights of the Child Report</w:t>
        </w:r>
        <w:r w:rsidR="00703DBB">
          <w:rPr>
            <w:noProof/>
            <w:webHidden/>
          </w:rPr>
          <w:tab/>
        </w:r>
        <w:r w:rsidR="00703DBB">
          <w:rPr>
            <w:noProof/>
            <w:webHidden/>
          </w:rPr>
          <w:fldChar w:fldCharType="begin"/>
        </w:r>
        <w:r w:rsidR="00703DBB">
          <w:rPr>
            <w:noProof/>
            <w:webHidden/>
          </w:rPr>
          <w:instrText xml:space="preserve"> PAGEREF _Toc476983592 \h </w:instrText>
        </w:r>
        <w:r w:rsidR="00703DBB">
          <w:rPr>
            <w:noProof/>
            <w:webHidden/>
          </w:rPr>
        </w:r>
        <w:r w:rsidR="00703DBB">
          <w:rPr>
            <w:noProof/>
            <w:webHidden/>
          </w:rPr>
          <w:fldChar w:fldCharType="separate"/>
        </w:r>
        <w:r w:rsidR="00703DBB">
          <w:rPr>
            <w:noProof/>
            <w:webHidden/>
          </w:rPr>
          <w:t>27</w:t>
        </w:r>
        <w:r w:rsidR="00703DBB">
          <w:rPr>
            <w:noProof/>
            <w:webHidden/>
          </w:rPr>
          <w:fldChar w:fldCharType="end"/>
        </w:r>
      </w:hyperlink>
    </w:p>
    <w:p w14:paraId="494AE2BA" w14:textId="67F5DC88" w:rsidR="00703DBB" w:rsidRDefault="00520302">
      <w:pPr>
        <w:pStyle w:val="TOC1"/>
        <w:tabs>
          <w:tab w:val="left" w:pos="480"/>
          <w:tab w:val="right" w:pos="9016"/>
        </w:tabs>
        <w:rPr>
          <w:rFonts w:asciiTheme="minorHAnsi" w:hAnsiTheme="minorHAnsi"/>
          <w:b w:val="0"/>
          <w:bCs w:val="0"/>
          <w:caps w:val="0"/>
          <w:noProof/>
          <w:sz w:val="22"/>
          <w:szCs w:val="22"/>
          <w:lang w:val="en-US"/>
        </w:rPr>
      </w:pPr>
      <w:hyperlink w:anchor="_Toc476983593" w:history="1">
        <w:r w:rsidR="00703DBB" w:rsidRPr="00F57DC3">
          <w:rPr>
            <w:rStyle w:val="Hyperlink"/>
            <w:rFonts w:eastAsia="Times New Roman"/>
            <w:noProof/>
            <w:lang w:eastAsia="en-GB"/>
          </w:rPr>
          <w:t>7.</w:t>
        </w:r>
        <w:r w:rsidR="00703DBB">
          <w:rPr>
            <w:rFonts w:asciiTheme="minorHAnsi" w:hAnsiTheme="minorHAnsi"/>
            <w:b w:val="0"/>
            <w:bCs w:val="0"/>
            <w:caps w:val="0"/>
            <w:noProof/>
            <w:sz w:val="22"/>
            <w:szCs w:val="22"/>
            <w:lang w:val="en-US"/>
          </w:rPr>
          <w:tab/>
        </w:r>
        <w:r w:rsidR="00703DBB" w:rsidRPr="00F57DC3">
          <w:rPr>
            <w:rStyle w:val="Hyperlink"/>
            <w:rFonts w:eastAsia="Times New Roman"/>
            <w:noProof/>
            <w:lang w:eastAsia="en-GB"/>
          </w:rPr>
          <w:t>NPO/CSO Operating Environment</w:t>
        </w:r>
        <w:r w:rsidR="00703DBB">
          <w:rPr>
            <w:noProof/>
            <w:webHidden/>
          </w:rPr>
          <w:tab/>
        </w:r>
        <w:r w:rsidR="00703DBB">
          <w:rPr>
            <w:noProof/>
            <w:webHidden/>
          </w:rPr>
          <w:fldChar w:fldCharType="begin"/>
        </w:r>
        <w:r w:rsidR="00703DBB">
          <w:rPr>
            <w:noProof/>
            <w:webHidden/>
          </w:rPr>
          <w:instrText xml:space="preserve"> PAGEREF _Toc476983593 \h </w:instrText>
        </w:r>
        <w:r w:rsidR="00703DBB">
          <w:rPr>
            <w:noProof/>
            <w:webHidden/>
          </w:rPr>
        </w:r>
        <w:r w:rsidR="00703DBB">
          <w:rPr>
            <w:noProof/>
            <w:webHidden/>
          </w:rPr>
          <w:fldChar w:fldCharType="separate"/>
        </w:r>
        <w:r w:rsidR="00703DBB">
          <w:rPr>
            <w:noProof/>
            <w:webHidden/>
          </w:rPr>
          <w:t>33</w:t>
        </w:r>
        <w:r w:rsidR="00703DBB">
          <w:rPr>
            <w:noProof/>
            <w:webHidden/>
          </w:rPr>
          <w:fldChar w:fldCharType="end"/>
        </w:r>
      </w:hyperlink>
    </w:p>
    <w:p w14:paraId="58E8CA0B" w14:textId="3DF929C3" w:rsidR="00703DBB" w:rsidRDefault="00520302">
      <w:pPr>
        <w:pStyle w:val="TOC2"/>
        <w:tabs>
          <w:tab w:val="left" w:pos="720"/>
          <w:tab w:val="right" w:pos="9016"/>
        </w:tabs>
        <w:rPr>
          <w:b w:val="0"/>
          <w:bCs w:val="0"/>
          <w:noProof/>
          <w:sz w:val="22"/>
          <w:szCs w:val="22"/>
          <w:lang w:val="en-US"/>
        </w:rPr>
      </w:pPr>
      <w:hyperlink w:anchor="_Toc476983594" w:history="1">
        <w:r w:rsidR="00703DBB" w:rsidRPr="00F57DC3">
          <w:rPr>
            <w:rStyle w:val="Hyperlink"/>
            <w:noProof/>
          </w:rPr>
          <w:t>7.1.</w:t>
        </w:r>
        <w:r w:rsidR="00703DBB">
          <w:rPr>
            <w:b w:val="0"/>
            <w:bCs w:val="0"/>
            <w:noProof/>
            <w:sz w:val="22"/>
            <w:szCs w:val="22"/>
            <w:lang w:val="en-US"/>
          </w:rPr>
          <w:tab/>
        </w:r>
        <w:r w:rsidR="00703DBB" w:rsidRPr="00F57DC3">
          <w:rPr>
            <w:rStyle w:val="Hyperlink"/>
            <w:noProof/>
          </w:rPr>
          <w:t>Overview of the Types of NPO/CSO Vehicles</w:t>
        </w:r>
        <w:r w:rsidR="00703DBB">
          <w:rPr>
            <w:noProof/>
            <w:webHidden/>
          </w:rPr>
          <w:tab/>
        </w:r>
        <w:r w:rsidR="00703DBB">
          <w:rPr>
            <w:noProof/>
            <w:webHidden/>
          </w:rPr>
          <w:fldChar w:fldCharType="begin"/>
        </w:r>
        <w:r w:rsidR="00703DBB">
          <w:rPr>
            <w:noProof/>
            <w:webHidden/>
          </w:rPr>
          <w:instrText xml:space="preserve"> PAGEREF _Toc476983594 \h </w:instrText>
        </w:r>
        <w:r w:rsidR="00703DBB">
          <w:rPr>
            <w:noProof/>
            <w:webHidden/>
          </w:rPr>
        </w:r>
        <w:r w:rsidR="00703DBB">
          <w:rPr>
            <w:noProof/>
            <w:webHidden/>
          </w:rPr>
          <w:fldChar w:fldCharType="separate"/>
        </w:r>
        <w:r w:rsidR="00703DBB">
          <w:rPr>
            <w:noProof/>
            <w:webHidden/>
          </w:rPr>
          <w:t>33</w:t>
        </w:r>
        <w:r w:rsidR="00703DBB">
          <w:rPr>
            <w:noProof/>
            <w:webHidden/>
          </w:rPr>
          <w:fldChar w:fldCharType="end"/>
        </w:r>
      </w:hyperlink>
    </w:p>
    <w:p w14:paraId="759BE4FB" w14:textId="5188CB92" w:rsidR="00703DBB" w:rsidRDefault="00520302">
      <w:pPr>
        <w:pStyle w:val="TOC2"/>
        <w:tabs>
          <w:tab w:val="left" w:pos="720"/>
          <w:tab w:val="right" w:pos="9016"/>
        </w:tabs>
        <w:rPr>
          <w:b w:val="0"/>
          <w:bCs w:val="0"/>
          <w:noProof/>
          <w:sz w:val="22"/>
          <w:szCs w:val="22"/>
          <w:lang w:val="en-US"/>
        </w:rPr>
      </w:pPr>
      <w:hyperlink w:anchor="_Toc476983595" w:history="1">
        <w:r w:rsidR="00703DBB" w:rsidRPr="00F57DC3">
          <w:rPr>
            <w:rStyle w:val="Hyperlink"/>
            <w:noProof/>
          </w:rPr>
          <w:t>7.2.</w:t>
        </w:r>
        <w:r w:rsidR="00703DBB">
          <w:rPr>
            <w:b w:val="0"/>
            <w:bCs w:val="0"/>
            <w:noProof/>
            <w:sz w:val="22"/>
            <w:szCs w:val="22"/>
            <w:lang w:val="en-US"/>
          </w:rPr>
          <w:tab/>
        </w:r>
        <w:r w:rsidR="00703DBB" w:rsidRPr="00F57DC3">
          <w:rPr>
            <w:rStyle w:val="Hyperlink"/>
            <w:noProof/>
          </w:rPr>
          <w:t>Regulatory Framework of Philanthropy in South Africa</w:t>
        </w:r>
        <w:r w:rsidR="00703DBB">
          <w:rPr>
            <w:noProof/>
            <w:webHidden/>
          </w:rPr>
          <w:tab/>
        </w:r>
        <w:r w:rsidR="00703DBB">
          <w:rPr>
            <w:noProof/>
            <w:webHidden/>
          </w:rPr>
          <w:fldChar w:fldCharType="begin"/>
        </w:r>
        <w:r w:rsidR="00703DBB">
          <w:rPr>
            <w:noProof/>
            <w:webHidden/>
          </w:rPr>
          <w:instrText xml:space="preserve"> PAGEREF _Toc476983595 \h </w:instrText>
        </w:r>
        <w:r w:rsidR="00703DBB">
          <w:rPr>
            <w:noProof/>
            <w:webHidden/>
          </w:rPr>
        </w:r>
        <w:r w:rsidR="00703DBB">
          <w:rPr>
            <w:noProof/>
            <w:webHidden/>
          </w:rPr>
          <w:fldChar w:fldCharType="separate"/>
        </w:r>
        <w:r w:rsidR="00703DBB">
          <w:rPr>
            <w:noProof/>
            <w:webHidden/>
          </w:rPr>
          <w:t>34</w:t>
        </w:r>
        <w:r w:rsidR="00703DBB">
          <w:rPr>
            <w:noProof/>
            <w:webHidden/>
          </w:rPr>
          <w:fldChar w:fldCharType="end"/>
        </w:r>
      </w:hyperlink>
    </w:p>
    <w:p w14:paraId="78AC5AFB" w14:textId="1DE9D088" w:rsidR="00703DBB" w:rsidRDefault="00520302">
      <w:pPr>
        <w:pStyle w:val="TOC1"/>
        <w:tabs>
          <w:tab w:val="left" w:pos="480"/>
          <w:tab w:val="right" w:pos="9016"/>
        </w:tabs>
        <w:rPr>
          <w:rFonts w:asciiTheme="minorHAnsi" w:hAnsiTheme="minorHAnsi"/>
          <w:b w:val="0"/>
          <w:bCs w:val="0"/>
          <w:caps w:val="0"/>
          <w:noProof/>
          <w:sz w:val="22"/>
          <w:szCs w:val="22"/>
          <w:lang w:val="en-US"/>
        </w:rPr>
      </w:pPr>
      <w:hyperlink w:anchor="_Toc476983596" w:history="1">
        <w:r w:rsidR="00703DBB" w:rsidRPr="00F57DC3">
          <w:rPr>
            <w:rStyle w:val="Hyperlink"/>
            <w:noProof/>
            <w:lang w:eastAsia="en-GB"/>
          </w:rPr>
          <w:t>8.</w:t>
        </w:r>
        <w:r w:rsidR="00703DBB">
          <w:rPr>
            <w:rFonts w:asciiTheme="minorHAnsi" w:hAnsiTheme="minorHAnsi"/>
            <w:b w:val="0"/>
            <w:bCs w:val="0"/>
            <w:caps w:val="0"/>
            <w:noProof/>
            <w:sz w:val="22"/>
            <w:szCs w:val="22"/>
            <w:lang w:val="en-US"/>
          </w:rPr>
          <w:tab/>
        </w:r>
        <w:r w:rsidR="00703DBB" w:rsidRPr="00F57DC3">
          <w:rPr>
            <w:rStyle w:val="Hyperlink"/>
            <w:noProof/>
            <w:lang w:eastAsia="en-GB"/>
          </w:rPr>
          <w:t>References</w:t>
        </w:r>
        <w:r w:rsidR="00703DBB">
          <w:rPr>
            <w:noProof/>
            <w:webHidden/>
          </w:rPr>
          <w:tab/>
        </w:r>
        <w:r w:rsidR="00703DBB">
          <w:rPr>
            <w:noProof/>
            <w:webHidden/>
          </w:rPr>
          <w:fldChar w:fldCharType="begin"/>
        </w:r>
        <w:r w:rsidR="00703DBB">
          <w:rPr>
            <w:noProof/>
            <w:webHidden/>
          </w:rPr>
          <w:instrText xml:space="preserve"> PAGEREF _Toc476983596 \h </w:instrText>
        </w:r>
        <w:r w:rsidR="00703DBB">
          <w:rPr>
            <w:noProof/>
            <w:webHidden/>
          </w:rPr>
        </w:r>
        <w:r w:rsidR="00703DBB">
          <w:rPr>
            <w:noProof/>
            <w:webHidden/>
          </w:rPr>
          <w:fldChar w:fldCharType="separate"/>
        </w:r>
        <w:r w:rsidR="00703DBB">
          <w:rPr>
            <w:noProof/>
            <w:webHidden/>
          </w:rPr>
          <w:t>42</w:t>
        </w:r>
        <w:r w:rsidR="00703DBB">
          <w:rPr>
            <w:noProof/>
            <w:webHidden/>
          </w:rPr>
          <w:fldChar w:fldCharType="end"/>
        </w:r>
      </w:hyperlink>
    </w:p>
    <w:p w14:paraId="6C6D54D8" w14:textId="672A0558" w:rsidR="004A7BE6" w:rsidRPr="00EA0EA9" w:rsidRDefault="009D7BF7" w:rsidP="00216FAF">
      <w:pPr>
        <w:jc w:val="both"/>
        <w:rPr>
          <w:rFonts w:asciiTheme="majorHAnsi" w:hAnsiTheme="majorHAnsi"/>
          <w:b/>
          <w:color w:val="00FF00"/>
          <w:sz w:val="40"/>
        </w:rPr>
      </w:pPr>
      <w:r w:rsidRPr="00EA0EA9">
        <w:rPr>
          <w:rFonts w:asciiTheme="majorHAnsi" w:hAnsiTheme="majorHAnsi"/>
          <w:b/>
          <w:color w:val="00FF00"/>
          <w:sz w:val="40"/>
        </w:rPr>
        <w:fldChar w:fldCharType="end"/>
      </w:r>
    </w:p>
    <w:p w14:paraId="3B36CB07" w14:textId="5FAED74F" w:rsidR="00D131D9" w:rsidRPr="00D131D9" w:rsidRDefault="009D7BF7">
      <w:pPr>
        <w:pStyle w:val="TableofFigures"/>
        <w:tabs>
          <w:tab w:val="right" w:leader="dot" w:pos="9016"/>
        </w:tabs>
        <w:rPr>
          <w:rFonts w:asciiTheme="majorHAnsi" w:hAnsiTheme="majorHAnsi"/>
          <w:noProof/>
          <w:sz w:val="20"/>
          <w:szCs w:val="22"/>
          <w:lang w:val="en-US"/>
        </w:rPr>
      </w:pPr>
      <w:r w:rsidRPr="00EA0EA9">
        <w:rPr>
          <w:rFonts w:asciiTheme="majorHAnsi" w:hAnsiTheme="majorHAnsi"/>
          <w:b/>
          <w:color w:val="00FF00"/>
          <w:sz w:val="40"/>
        </w:rPr>
        <w:fldChar w:fldCharType="begin"/>
      </w:r>
      <w:r w:rsidR="003673A7" w:rsidRPr="00EA0EA9">
        <w:rPr>
          <w:rFonts w:asciiTheme="majorHAnsi" w:hAnsiTheme="majorHAnsi"/>
          <w:b/>
          <w:color w:val="00FF00"/>
          <w:sz w:val="40"/>
        </w:rPr>
        <w:instrText xml:space="preserve"> TOC \h \z \c "Figure" </w:instrText>
      </w:r>
      <w:r w:rsidRPr="00EA0EA9">
        <w:rPr>
          <w:rFonts w:asciiTheme="majorHAnsi" w:hAnsiTheme="majorHAnsi"/>
          <w:b/>
          <w:color w:val="00FF00"/>
          <w:sz w:val="40"/>
        </w:rPr>
        <w:fldChar w:fldCharType="separate"/>
      </w:r>
      <w:hyperlink w:anchor="_Toc476983990" w:history="1">
        <w:r w:rsidR="00D131D9" w:rsidRPr="00D131D9">
          <w:rPr>
            <w:rStyle w:val="Hyperlink"/>
            <w:rFonts w:asciiTheme="majorHAnsi" w:hAnsiTheme="majorHAnsi"/>
            <w:noProof/>
            <w:sz w:val="22"/>
            <w:lang w:eastAsia="en-GB"/>
          </w:rPr>
          <w:t>Figure 1: Population Indicators</w:t>
        </w:r>
        <w:r w:rsidR="00D131D9" w:rsidRPr="00D131D9">
          <w:rPr>
            <w:rFonts w:asciiTheme="majorHAnsi" w:hAnsiTheme="majorHAnsi"/>
            <w:noProof/>
            <w:webHidden/>
            <w:sz w:val="22"/>
          </w:rPr>
          <w:tab/>
        </w:r>
        <w:r w:rsidR="00D131D9" w:rsidRPr="00D131D9">
          <w:rPr>
            <w:rFonts w:asciiTheme="majorHAnsi" w:hAnsiTheme="majorHAnsi"/>
            <w:noProof/>
            <w:webHidden/>
            <w:sz w:val="22"/>
          </w:rPr>
          <w:fldChar w:fldCharType="begin"/>
        </w:r>
        <w:r w:rsidR="00D131D9" w:rsidRPr="00D131D9">
          <w:rPr>
            <w:rFonts w:asciiTheme="majorHAnsi" w:hAnsiTheme="majorHAnsi"/>
            <w:noProof/>
            <w:webHidden/>
            <w:sz w:val="22"/>
          </w:rPr>
          <w:instrText xml:space="preserve"> PAGEREF _Toc476983990 \h </w:instrText>
        </w:r>
        <w:r w:rsidR="00D131D9" w:rsidRPr="00D131D9">
          <w:rPr>
            <w:rFonts w:asciiTheme="majorHAnsi" w:hAnsiTheme="majorHAnsi"/>
            <w:noProof/>
            <w:webHidden/>
            <w:sz w:val="22"/>
          </w:rPr>
        </w:r>
        <w:r w:rsidR="00D131D9" w:rsidRPr="00D131D9">
          <w:rPr>
            <w:rFonts w:asciiTheme="majorHAnsi" w:hAnsiTheme="majorHAnsi"/>
            <w:noProof/>
            <w:webHidden/>
            <w:sz w:val="22"/>
          </w:rPr>
          <w:fldChar w:fldCharType="separate"/>
        </w:r>
        <w:r w:rsidR="00D131D9" w:rsidRPr="00D131D9">
          <w:rPr>
            <w:rFonts w:asciiTheme="majorHAnsi" w:hAnsiTheme="majorHAnsi"/>
            <w:noProof/>
            <w:webHidden/>
            <w:sz w:val="22"/>
          </w:rPr>
          <w:t>11</w:t>
        </w:r>
        <w:r w:rsidR="00D131D9" w:rsidRPr="00D131D9">
          <w:rPr>
            <w:rFonts w:asciiTheme="majorHAnsi" w:hAnsiTheme="majorHAnsi"/>
            <w:noProof/>
            <w:webHidden/>
            <w:sz w:val="22"/>
          </w:rPr>
          <w:fldChar w:fldCharType="end"/>
        </w:r>
      </w:hyperlink>
    </w:p>
    <w:p w14:paraId="401793D9" w14:textId="367C66CE" w:rsidR="00D131D9" w:rsidRPr="00D131D9" w:rsidRDefault="00520302">
      <w:pPr>
        <w:pStyle w:val="TableofFigures"/>
        <w:tabs>
          <w:tab w:val="right" w:leader="dot" w:pos="9016"/>
        </w:tabs>
        <w:rPr>
          <w:rFonts w:asciiTheme="majorHAnsi" w:hAnsiTheme="majorHAnsi"/>
          <w:noProof/>
          <w:sz w:val="20"/>
          <w:szCs w:val="22"/>
          <w:lang w:val="en-US"/>
        </w:rPr>
      </w:pPr>
      <w:hyperlink w:anchor="_Toc476983991" w:history="1">
        <w:r w:rsidR="00D131D9" w:rsidRPr="00D131D9">
          <w:rPr>
            <w:rStyle w:val="Hyperlink"/>
            <w:rFonts w:asciiTheme="majorHAnsi" w:hAnsiTheme="majorHAnsi"/>
            <w:noProof/>
            <w:sz w:val="22"/>
          </w:rPr>
          <w:t>Figure 2: Percentage of Children 0-17 years old by Population Racial Group, 2014</w:t>
        </w:r>
        <w:r w:rsidR="00D131D9" w:rsidRPr="00D131D9">
          <w:rPr>
            <w:rFonts w:asciiTheme="majorHAnsi" w:hAnsiTheme="majorHAnsi"/>
            <w:noProof/>
            <w:webHidden/>
            <w:sz w:val="22"/>
          </w:rPr>
          <w:tab/>
        </w:r>
        <w:r w:rsidR="00D131D9" w:rsidRPr="00D131D9">
          <w:rPr>
            <w:rFonts w:asciiTheme="majorHAnsi" w:hAnsiTheme="majorHAnsi"/>
            <w:noProof/>
            <w:webHidden/>
            <w:sz w:val="22"/>
          </w:rPr>
          <w:fldChar w:fldCharType="begin"/>
        </w:r>
        <w:r w:rsidR="00D131D9" w:rsidRPr="00D131D9">
          <w:rPr>
            <w:rFonts w:asciiTheme="majorHAnsi" w:hAnsiTheme="majorHAnsi"/>
            <w:noProof/>
            <w:webHidden/>
            <w:sz w:val="22"/>
          </w:rPr>
          <w:instrText xml:space="preserve"> PAGEREF _Toc476983991 \h </w:instrText>
        </w:r>
        <w:r w:rsidR="00D131D9" w:rsidRPr="00D131D9">
          <w:rPr>
            <w:rFonts w:asciiTheme="majorHAnsi" w:hAnsiTheme="majorHAnsi"/>
            <w:noProof/>
            <w:webHidden/>
            <w:sz w:val="22"/>
          </w:rPr>
        </w:r>
        <w:r w:rsidR="00D131D9" w:rsidRPr="00D131D9">
          <w:rPr>
            <w:rFonts w:asciiTheme="majorHAnsi" w:hAnsiTheme="majorHAnsi"/>
            <w:noProof/>
            <w:webHidden/>
            <w:sz w:val="22"/>
          </w:rPr>
          <w:fldChar w:fldCharType="separate"/>
        </w:r>
        <w:r w:rsidR="00D131D9" w:rsidRPr="00D131D9">
          <w:rPr>
            <w:rFonts w:asciiTheme="majorHAnsi" w:hAnsiTheme="majorHAnsi"/>
            <w:noProof/>
            <w:webHidden/>
            <w:sz w:val="22"/>
          </w:rPr>
          <w:t>15</w:t>
        </w:r>
        <w:r w:rsidR="00D131D9" w:rsidRPr="00D131D9">
          <w:rPr>
            <w:rFonts w:asciiTheme="majorHAnsi" w:hAnsiTheme="majorHAnsi"/>
            <w:noProof/>
            <w:webHidden/>
            <w:sz w:val="22"/>
          </w:rPr>
          <w:fldChar w:fldCharType="end"/>
        </w:r>
      </w:hyperlink>
    </w:p>
    <w:p w14:paraId="638FD089" w14:textId="2F63C6C6" w:rsidR="00D131D9" w:rsidRPr="00D131D9" w:rsidRDefault="00520302">
      <w:pPr>
        <w:pStyle w:val="TableofFigures"/>
        <w:tabs>
          <w:tab w:val="right" w:leader="dot" w:pos="9016"/>
        </w:tabs>
        <w:rPr>
          <w:rFonts w:asciiTheme="majorHAnsi" w:hAnsiTheme="majorHAnsi"/>
          <w:noProof/>
          <w:sz w:val="20"/>
          <w:szCs w:val="22"/>
          <w:lang w:val="en-US"/>
        </w:rPr>
      </w:pPr>
      <w:hyperlink w:anchor="_Toc476983992" w:history="1">
        <w:r w:rsidR="00D131D9" w:rsidRPr="00D131D9">
          <w:rPr>
            <w:rStyle w:val="Hyperlink"/>
            <w:rFonts w:asciiTheme="majorHAnsi" w:hAnsiTheme="majorHAnsi"/>
            <w:noProof/>
            <w:sz w:val="22"/>
          </w:rPr>
          <w:t>Figure 3: Percentage Distribution of Children 0-17 years Old by Geo-type</w:t>
        </w:r>
        <w:r w:rsidR="00D131D9" w:rsidRPr="00D131D9">
          <w:rPr>
            <w:rFonts w:asciiTheme="majorHAnsi" w:hAnsiTheme="majorHAnsi"/>
            <w:noProof/>
            <w:webHidden/>
            <w:sz w:val="22"/>
          </w:rPr>
          <w:tab/>
        </w:r>
        <w:r w:rsidR="00D131D9" w:rsidRPr="00D131D9">
          <w:rPr>
            <w:rFonts w:asciiTheme="majorHAnsi" w:hAnsiTheme="majorHAnsi"/>
            <w:noProof/>
            <w:webHidden/>
            <w:sz w:val="22"/>
          </w:rPr>
          <w:fldChar w:fldCharType="begin"/>
        </w:r>
        <w:r w:rsidR="00D131D9" w:rsidRPr="00D131D9">
          <w:rPr>
            <w:rFonts w:asciiTheme="majorHAnsi" w:hAnsiTheme="majorHAnsi"/>
            <w:noProof/>
            <w:webHidden/>
            <w:sz w:val="22"/>
          </w:rPr>
          <w:instrText xml:space="preserve"> PAGEREF _Toc476983992 \h </w:instrText>
        </w:r>
        <w:r w:rsidR="00D131D9" w:rsidRPr="00D131D9">
          <w:rPr>
            <w:rFonts w:asciiTheme="majorHAnsi" w:hAnsiTheme="majorHAnsi"/>
            <w:noProof/>
            <w:webHidden/>
            <w:sz w:val="22"/>
          </w:rPr>
        </w:r>
        <w:r w:rsidR="00D131D9" w:rsidRPr="00D131D9">
          <w:rPr>
            <w:rFonts w:asciiTheme="majorHAnsi" w:hAnsiTheme="majorHAnsi"/>
            <w:noProof/>
            <w:webHidden/>
            <w:sz w:val="22"/>
          </w:rPr>
          <w:fldChar w:fldCharType="separate"/>
        </w:r>
        <w:r w:rsidR="00D131D9" w:rsidRPr="00D131D9">
          <w:rPr>
            <w:rFonts w:asciiTheme="majorHAnsi" w:hAnsiTheme="majorHAnsi"/>
            <w:noProof/>
            <w:webHidden/>
            <w:sz w:val="22"/>
          </w:rPr>
          <w:t>15</w:t>
        </w:r>
        <w:r w:rsidR="00D131D9" w:rsidRPr="00D131D9">
          <w:rPr>
            <w:rFonts w:asciiTheme="majorHAnsi" w:hAnsiTheme="majorHAnsi"/>
            <w:noProof/>
            <w:webHidden/>
            <w:sz w:val="22"/>
          </w:rPr>
          <w:fldChar w:fldCharType="end"/>
        </w:r>
      </w:hyperlink>
    </w:p>
    <w:p w14:paraId="1F3FF668" w14:textId="4935D03C" w:rsidR="00D131D9" w:rsidRPr="00D131D9" w:rsidRDefault="00520302">
      <w:pPr>
        <w:pStyle w:val="TableofFigures"/>
        <w:tabs>
          <w:tab w:val="right" w:leader="dot" w:pos="9016"/>
        </w:tabs>
        <w:rPr>
          <w:rFonts w:asciiTheme="majorHAnsi" w:hAnsiTheme="majorHAnsi"/>
          <w:noProof/>
          <w:sz w:val="20"/>
          <w:szCs w:val="22"/>
          <w:lang w:val="en-US"/>
        </w:rPr>
      </w:pPr>
      <w:hyperlink w:anchor="_Toc476983993" w:history="1">
        <w:r w:rsidR="00D131D9" w:rsidRPr="00D131D9">
          <w:rPr>
            <w:rStyle w:val="Hyperlink"/>
            <w:rFonts w:asciiTheme="majorHAnsi" w:hAnsiTheme="majorHAnsi"/>
            <w:noProof/>
            <w:sz w:val="22"/>
          </w:rPr>
          <w:t>Figure 4: Numbers and Percentage Distribution of Children 0-17 Years Old by Province, 2014</w:t>
        </w:r>
        <w:r w:rsidR="00D131D9" w:rsidRPr="00D131D9">
          <w:rPr>
            <w:rFonts w:asciiTheme="majorHAnsi" w:hAnsiTheme="majorHAnsi"/>
            <w:noProof/>
            <w:webHidden/>
            <w:sz w:val="22"/>
          </w:rPr>
          <w:tab/>
        </w:r>
        <w:r w:rsidR="00D131D9" w:rsidRPr="00D131D9">
          <w:rPr>
            <w:rFonts w:asciiTheme="majorHAnsi" w:hAnsiTheme="majorHAnsi"/>
            <w:noProof/>
            <w:webHidden/>
            <w:sz w:val="22"/>
          </w:rPr>
          <w:fldChar w:fldCharType="begin"/>
        </w:r>
        <w:r w:rsidR="00D131D9" w:rsidRPr="00D131D9">
          <w:rPr>
            <w:rFonts w:asciiTheme="majorHAnsi" w:hAnsiTheme="majorHAnsi"/>
            <w:noProof/>
            <w:webHidden/>
            <w:sz w:val="22"/>
          </w:rPr>
          <w:instrText xml:space="preserve"> PAGEREF _Toc476983993 \h </w:instrText>
        </w:r>
        <w:r w:rsidR="00D131D9" w:rsidRPr="00D131D9">
          <w:rPr>
            <w:rFonts w:asciiTheme="majorHAnsi" w:hAnsiTheme="majorHAnsi"/>
            <w:noProof/>
            <w:webHidden/>
            <w:sz w:val="22"/>
          </w:rPr>
        </w:r>
        <w:r w:rsidR="00D131D9" w:rsidRPr="00D131D9">
          <w:rPr>
            <w:rFonts w:asciiTheme="majorHAnsi" w:hAnsiTheme="majorHAnsi"/>
            <w:noProof/>
            <w:webHidden/>
            <w:sz w:val="22"/>
          </w:rPr>
          <w:fldChar w:fldCharType="separate"/>
        </w:r>
        <w:r w:rsidR="00D131D9" w:rsidRPr="00D131D9">
          <w:rPr>
            <w:rFonts w:asciiTheme="majorHAnsi" w:hAnsiTheme="majorHAnsi"/>
            <w:noProof/>
            <w:webHidden/>
            <w:sz w:val="22"/>
          </w:rPr>
          <w:t>16</w:t>
        </w:r>
        <w:r w:rsidR="00D131D9" w:rsidRPr="00D131D9">
          <w:rPr>
            <w:rFonts w:asciiTheme="majorHAnsi" w:hAnsiTheme="majorHAnsi"/>
            <w:noProof/>
            <w:webHidden/>
            <w:sz w:val="22"/>
          </w:rPr>
          <w:fldChar w:fldCharType="end"/>
        </w:r>
      </w:hyperlink>
    </w:p>
    <w:p w14:paraId="73DCB710" w14:textId="222AE5B9" w:rsidR="00D131D9" w:rsidRPr="00D131D9" w:rsidRDefault="00520302">
      <w:pPr>
        <w:pStyle w:val="TableofFigures"/>
        <w:tabs>
          <w:tab w:val="right" w:leader="dot" w:pos="9016"/>
        </w:tabs>
        <w:rPr>
          <w:rFonts w:asciiTheme="majorHAnsi" w:hAnsiTheme="majorHAnsi"/>
          <w:noProof/>
          <w:sz w:val="20"/>
          <w:szCs w:val="22"/>
          <w:lang w:val="en-US"/>
        </w:rPr>
      </w:pPr>
      <w:hyperlink w:anchor="_Toc476983994" w:history="1">
        <w:r w:rsidR="00D131D9" w:rsidRPr="00D131D9">
          <w:rPr>
            <w:rStyle w:val="Hyperlink"/>
            <w:rFonts w:asciiTheme="majorHAnsi" w:hAnsiTheme="majorHAnsi"/>
            <w:noProof/>
            <w:sz w:val="22"/>
          </w:rPr>
          <w:t>Figure 5: Population of Children 0-17 years Old as a Proportion of the Total Population</w:t>
        </w:r>
        <w:r w:rsidR="00D131D9" w:rsidRPr="00D131D9">
          <w:rPr>
            <w:rFonts w:asciiTheme="majorHAnsi" w:hAnsiTheme="majorHAnsi"/>
            <w:noProof/>
            <w:webHidden/>
            <w:sz w:val="22"/>
          </w:rPr>
          <w:tab/>
        </w:r>
        <w:r w:rsidR="00D131D9" w:rsidRPr="00D131D9">
          <w:rPr>
            <w:rFonts w:asciiTheme="majorHAnsi" w:hAnsiTheme="majorHAnsi"/>
            <w:noProof/>
            <w:webHidden/>
            <w:sz w:val="22"/>
          </w:rPr>
          <w:fldChar w:fldCharType="begin"/>
        </w:r>
        <w:r w:rsidR="00D131D9" w:rsidRPr="00D131D9">
          <w:rPr>
            <w:rFonts w:asciiTheme="majorHAnsi" w:hAnsiTheme="majorHAnsi"/>
            <w:noProof/>
            <w:webHidden/>
            <w:sz w:val="22"/>
          </w:rPr>
          <w:instrText xml:space="preserve"> PAGEREF _Toc476983994 \h </w:instrText>
        </w:r>
        <w:r w:rsidR="00D131D9" w:rsidRPr="00D131D9">
          <w:rPr>
            <w:rFonts w:asciiTheme="majorHAnsi" w:hAnsiTheme="majorHAnsi"/>
            <w:noProof/>
            <w:webHidden/>
            <w:sz w:val="22"/>
          </w:rPr>
        </w:r>
        <w:r w:rsidR="00D131D9" w:rsidRPr="00D131D9">
          <w:rPr>
            <w:rFonts w:asciiTheme="majorHAnsi" w:hAnsiTheme="majorHAnsi"/>
            <w:noProof/>
            <w:webHidden/>
            <w:sz w:val="22"/>
          </w:rPr>
          <w:fldChar w:fldCharType="separate"/>
        </w:r>
        <w:r w:rsidR="00D131D9" w:rsidRPr="00D131D9">
          <w:rPr>
            <w:rFonts w:asciiTheme="majorHAnsi" w:hAnsiTheme="majorHAnsi"/>
            <w:noProof/>
            <w:webHidden/>
            <w:sz w:val="22"/>
          </w:rPr>
          <w:t>16</w:t>
        </w:r>
        <w:r w:rsidR="00D131D9" w:rsidRPr="00D131D9">
          <w:rPr>
            <w:rFonts w:asciiTheme="majorHAnsi" w:hAnsiTheme="majorHAnsi"/>
            <w:noProof/>
            <w:webHidden/>
            <w:sz w:val="22"/>
          </w:rPr>
          <w:fldChar w:fldCharType="end"/>
        </w:r>
      </w:hyperlink>
    </w:p>
    <w:p w14:paraId="47FE95BA" w14:textId="5D0F9E3F" w:rsidR="004A7BE6" w:rsidRPr="00EA0EA9" w:rsidRDefault="009D7BF7" w:rsidP="00216FAF">
      <w:pPr>
        <w:jc w:val="both"/>
        <w:rPr>
          <w:rFonts w:asciiTheme="majorHAnsi" w:hAnsiTheme="majorHAnsi"/>
          <w:b/>
          <w:color w:val="00FF00"/>
          <w:sz w:val="40"/>
        </w:rPr>
      </w:pPr>
      <w:r w:rsidRPr="00EA0EA9">
        <w:rPr>
          <w:rFonts w:asciiTheme="majorHAnsi" w:hAnsiTheme="majorHAnsi"/>
          <w:b/>
          <w:color w:val="00FF00"/>
          <w:sz w:val="40"/>
        </w:rPr>
        <w:fldChar w:fldCharType="end"/>
      </w:r>
    </w:p>
    <w:p w14:paraId="6B2902A7" w14:textId="5E946B71" w:rsidR="00A87174" w:rsidRDefault="009D7BF7">
      <w:pPr>
        <w:pStyle w:val="TableofFigures"/>
        <w:tabs>
          <w:tab w:val="right" w:leader="dot" w:pos="9016"/>
        </w:tabs>
        <w:rPr>
          <w:noProof/>
          <w:sz w:val="22"/>
          <w:szCs w:val="22"/>
          <w:lang w:val="en-US"/>
        </w:rPr>
      </w:pPr>
      <w:r w:rsidRPr="00EA0EA9">
        <w:rPr>
          <w:rFonts w:asciiTheme="majorHAnsi" w:hAnsiTheme="majorHAnsi"/>
          <w:b/>
          <w:color w:val="00FF00"/>
          <w:sz w:val="40"/>
        </w:rPr>
        <w:fldChar w:fldCharType="begin"/>
      </w:r>
      <w:r w:rsidR="00D661D9" w:rsidRPr="00EA0EA9">
        <w:rPr>
          <w:rFonts w:asciiTheme="majorHAnsi" w:hAnsiTheme="majorHAnsi"/>
          <w:b/>
          <w:color w:val="00FF00"/>
          <w:sz w:val="40"/>
        </w:rPr>
        <w:instrText xml:space="preserve"> TOC \h \z \c "Table" </w:instrText>
      </w:r>
      <w:r w:rsidRPr="00EA0EA9">
        <w:rPr>
          <w:rFonts w:asciiTheme="majorHAnsi" w:hAnsiTheme="majorHAnsi"/>
          <w:b/>
          <w:color w:val="00FF00"/>
          <w:sz w:val="40"/>
        </w:rPr>
        <w:fldChar w:fldCharType="separate"/>
      </w:r>
      <w:hyperlink w:anchor="_Toc476984140" w:history="1">
        <w:r w:rsidR="00A87174" w:rsidRPr="009D5D7B">
          <w:rPr>
            <w:rStyle w:val="Hyperlink"/>
            <w:rFonts w:ascii="Cambria" w:hAnsi="Cambria"/>
            <w:noProof/>
            <w:lang w:eastAsia="en-GB"/>
          </w:rPr>
          <w:t>Table 1: Youth population (as % of total)</w:t>
        </w:r>
        <w:r w:rsidR="00A87174">
          <w:rPr>
            <w:noProof/>
            <w:webHidden/>
          </w:rPr>
          <w:tab/>
        </w:r>
        <w:r w:rsidR="00A87174">
          <w:rPr>
            <w:noProof/>
            <w:webHidden/>
          </w:rPr>
          <w:fldChar w:fldCharType="begin"/>
        </w:r>
        <w:r w:rsidR="00A87174">
          <w:rPr>
            <w:noProof/>
            <w:webHidden/>
          </w:rPr>
          <w:instrText xml:space="preserve"> PAGEREF _Toc476984140 \h </w:instrText>
        </w:r>
        <w:r w:rsidR="00A87174">
          <w:rPr>
            <w:noProof/>
            <w:webHidden/>
          </w:rPr>
        </w:r>
        <w:r w:rsidR="00A87174">
          <w:rPr>
            <w:noProof/>
            <w:webHidden/>
          </w:rPr>
          <w:fldChar w:fldCharType="separate"/>
        </w:r>
        <w:r w:rsidR="00A87174">
          <w:rPr>
            <w:noProof/>
            <w:webHidden/>
          </w:rPr>
          <w:t>11</w:t>
        </w:r>
        <w:r w:rsidR="00A87174">
          <w:rPr>
            <w:noProof/>
            <w:webHidden/>
          </w:rPr>
          <w:fldChar w:fldCharType="end"/>
        </w:r>
      </w:hyperlink>
    </w:p>
    <w:p w14:paraId="1F579F61" w14:textId="29409FD7" w:rsidR="00A87174" w:rsidRDefault="00520302">
      <w:pPr>
        <w:pStyle w:val="TableofFigures"/>
        <w:tabs>
          <w:tab w:val="right" w:leader="dot" w:pos="9016"/>
        </w:tabs>
        <w:rPr>
          <w:noProof/>
          <w:sz w:val="22"/>
          <w:szCs w:val="22"/>
          <w:lang w:val="en-US"/>
        </w:rPr>
      </w:pPr>
      <w:hyperlink w:anchor="_Toc476984141" w:history="1">
        <w:r w:rsidR="00A87174" w:rsidRPr="009D5D7B">
          <w:rPr>
            <w:rStyle w:val="Hyperlink"/>
            <w:rFonts w:asciiTheme="majorHAnsi" w:hAnsiTheme="majorHAnsi"/>
            <w:noProof/>
          </w:rPr>
          <w:t>Table 2: Issues Peculiar to Countries</w:t>
        </w:r>
        <w:r w:rsidR="00A87174">
          <w:rPr>
            <w:noProof/>
            <w:webHidden/>
          </w:rPr>
          <w:tab/>
        </w:r>
        <w:r w:rsidR="00A87174">
          <w:rPr>
            <w:noProof/>
            <w:webHidden/>
          </w:rPr>
          <w:fldChar w:fldCharType="begin"/>
        </w:r>
        <w:r w:rsidR="00A87174">
          <w:rPr>
            <w:noProof/>
            <w:webHidden/>
          </w:rPr>
          <w:instrText xml:space="preserve"> PAGEREF _Toc476984141 \h </w:instrText>
        </w:r>
        <w:r w:rsidR="00A87174">
          <w:rPr>
            <w:noProof/>
            <w:webHidden/>
          </w:rPr>
        </w:r>
        <w:r w:rsidR="00A87174">
          <w:rPr>
            <w:noProof/>
            <w:webHidden/>
          </w:rPr>
          <w:fldChar w:fldCharType="separate"/>
        </w:r>
        <w:r w:rsidR="00A87174">
          <w:rPr>
            <w:noProof/>
            <w:webHidden/>
          </w:rPr>
          <w:t>21</w:t>
        </w:r>
        <w:r w:rsidR="00A87174">
          <w:rPr>
            <w:noProof/>
            <w:webHidden/>
          </w:rPr>
          <w:fldChar w:fldCharType="end"/>
        </w:r>
      </w:hyperlink>
    </w:p>
    <w:p w14:paraId="7F8A167D" w14:textId="30908D82" w:rsidR="00A87174" w:rsidRDefault="00520302">
      <w:pPr>
        <w:pStyle w:val="TableofFigures"/>
        <w:tabs>
          <w:tab w:val="right" w:leader="dot" w:pos="9016"/>
        </w:tabs>
        <w:rPr>
          <w:noProof/>
          <w:sz w:val="22"/>
          <w:szCs w:val="22"/>
          <w:lang w:val="en-US"/>
        </w:rPr>
      </w:pPr>
      <w:hyperlink w:anchor="_Toc476984142" w:history="1">
        <w:r w:rsidR="00A87174" w:rsidRPr="009D5D7B">
          <w:rPr>
            <w:rStyle w:val="Hyperlink"/>
            <w:rFonts w:ascii="Cambria" w:hAnsi="Cambria"/>
            <w:noProof/>
          </w:rPr>
          <w:t>Table 4: Types of NPOs in South Africa</w:t>
        </w:r>
        <w:r w:rsidR="00A87174">
          <w:rPr>
            <w:noProof/>
            <w:webHidden/>
          </w:rPr>
          <w:tab/>
        </w:r>
        <w:r w:rsidR="00A87174">
          <w:rPr>
            <w:noProof/>
            <w:webHidden/>
          </w:rPr>
          <w:fldChar w:fldCharType="begin"/>
        </w:r>
        <w:r w:rsidR="00A87174">
          <w:rPr>
            <w:noProof/>
            <w:webHidden/>
          </w:rPr>
          <w:instrText xml:space="preserve"> PAGEREF _Toc476984142 \h </w:instrText>
        </w:r>
        <w:r w:rsidR="00A87174">
          <w:rPr>
            <w:noProof/>
            <w:webHidden/>
          </w:rPr>
        </w:r>
        <w:r w:rsidR="00A87174">
          <w:rPr>
            <w:noProof/>
            <w:webHidden/>
          </w:rPr>
          <w:fldChar w:fldCharType="separate"/>
        </w:r>
        <w:r w:rsidR="00A87174">
          <w:rPr>
            <w:noProof/>
            <w:webHidden/>
          </w:rPr>
          <w:t>33</w:t>
        </w:r>
        <w:r w:rsidR="00A87174">
          <w:rPr>
            <w:noProof/>
            <w:webHidden/>
          </w:rPr>
          <w:fldChar w:fldCharType="end"/>
        </w:r>
      </w:hyperlink>
    </w:p>
    <w:p w14:paraId="6F8DB9D6" w14:textId="3135AEEC" w:rsidR="00A87174" w:rsidRDefault="00520302">
      <w:pPr>
        <w:pStyle w:val="TableofFigures"/>
        <w:tabs>
          <w:tab w:val="right" w:leader="dot" w:pos="9016"/>
        </w:tabs>
        <w:rPr>
          <w:noProof/>
          <w:sz w:val="22"/>
          <w:szCs w:val="22"/>
          <w:lang w:val="en-US"/>
        </w:rPr>
      </w:pPr>
      <w:hyperlink w:anchor="_Toc476984143" w:history="1">
        <w:r w:rsidR="00A87174" w:rsidRPr="009D5D7B">
          <w:rPr>
            <w:rStyle w:val="Hyperlink"/>
            <w:rFonts w:ascii="Cambria" w:hAnsi="Cambria"/>
            <w:noProof/>
          </w:rPr>
          <w:t xml:space="preserve">Table 5: 2009 Distribution </w:t>
        </w:r>
        <w:r w:rsidR="00A87174" w:rsidRPr="004737E2">
          <w:rPr>
            <w:rStyle w:val="Hyperlink"/>
            <w:rFonts w:ascii="Cambria" w:hAnsi="Cambria"/>
            <w:noProof/>
            <w:sz w:val="22"/>
          </w:rPr>
          <w:t>of</w:t>
        </w:r>
        <w:r w:rsidR="00A87174" w:rsidRPr="009D5D7B">
          <w:rPr>
            <w:rStyle w:val="Hyperlink"/>
            <w:rFonts w:ascii="Cambria" w:hAnsi="Cambria"/>
            <w:noProof/>
          </w:rPr>
          <w:t xml:space="preserve"> registered NPOs</w:t>
        </w:r>
        <w:r w:rsidR="00A87174">
          <w:rPr>
            <w:noProof/>
            <w:webHidden/>
          </w:rPr>
          <w:tab/>
        </w:r>
        <w:r w:rsidR="00A87174">
          <w:rPr>
            <w:noProof/>
            <w:webHidden/>
          </w:rPr>
          <w:fldChar w:fldCharType="begin"/>
        </w:r>
        <w:r w:rsidR="00A87174">
          <w:rPr>
            <w:noProof/>
            <w:webHidden/>
          </w:rPr>
          <w:instrText xml:space="preserve"> PAGEREF _Toc476984143 \h </w:instrText>
        </w:r>
        <w:r w:rsidR="00A87174">
          <w:rPr>
            <w:noProof/>
            <w:webHidden/>
          </w:rPr>
        </w:r>
        <w:r w:rsidR="00A87174">
          <w:rPr>
            <w:noProof/>
            <w:webHidden/>
          </w:rPr>
          <w:fldChar w:fldCharType="separate"/>
        </w:r>
        <w:r w:rsidR="00A87174">
          <w:rPr>
            <w:noProof/>
            <w:webHidden/>
          </w:rPr>
          <w:t>33</w:t>
        </w:r>
        <w:r w:rsidR="00A87174">
          <w:rPr>
            <w:noProof/>
            <w:webHidden/>
          </w:rPr>
          <w:fldChar w:fldCharType="end"/>
        </w:r>
      </w:hyperlink>
    </w:p>
    <w:p w14:paraId="2B1F2D78" w14:textId="43F94A60" w:rsidR="00A87174" w:rsidRDefault="00520302">
      <w:pPr>
        <w:pStyle w:val="TableofFigures"/>
        <w:tabs>
          <w:tab w:val="right" w:leader="dot" w:pos="9016"/>
        </w:tabs>
        <w:rPr>
          <w:noProof/>
          <w:sz w:val="22"/>
          <w:szCs w:val="22"/>
          <w:lang w:val="en-US"/>
        </w:rPr>
      </w:pPr>
      <w:hyperlink w:anchor="_Toc476984144" w:history="1">
        <w:r w:rsidR="00A87174" w:rsidRPr="009D5D7B">
          <w:rPr>
            <w:rStyle w:val="Hyperlink"/>
            <w:rFonts w:ascii="Cambria" w:hAnsi="Cambria"/>
            <w:noProof/>
          </w:rPr>
          <w:t>Table 6: Four Primary Tiers of the Legal Framework of NPO</w:t>
        </w:r>
        <w:r w:rsidR="00A87174">
          <w:rPr>
            <w:noProof/>
            <w:webHidden/>
          </w:rPr>
          <w:tab/>
        </w:r>
        <w:r w:rsidR="00A87174">
          <w:rPr>
            <w:noProof/>
            <w:webHidden/>
          </w:rPr>
          <w:fldChar w:fldCharType="begin"/>
        </w:r>
        <w:r w:rsidR="00A87174">
          <w:rPr>
            <w:noProof/>
            <w:webHidden/>
          </w:rPr>
          <w:instrText xml:space="preserve"> PAGEREF _Toc476984144 \h </w:instrText>
        </w:r>
        <w:r w:rsidR="00A87174">
          <w:rPr>
            <w:noProof/>
            <w:webHidden/>
          </w:rPr>
        </w:r>
        <w:r w:rsidR="00A87174">
          <w:rPr>
            <w:noProof/>
            <w:webHidden/>
          </w:rPr>
          <w:fldChar w:fldCharType="separate"/>
        </w:r>
        <w:r w:rsidR="00A87174">
          <w:rPr>
            <w:noProof/>
            <w:webHidden/>
          </w:rPr>
          <w:t>35</w:t>
        </w:r>
        <w:r w:rsidR="00A87174">
          <w:rPr>
            <w:noProof/>
            <w:webHidden/>
          </w:rPr>
          <w:fldChar w:fldCharType="end"/>
        </w:r>
      </w:hyperlink>
    </w:p>
    <w:p w14:paraId="66202FA1" w14:textId="26A1A9DD" w:rsidR="00A87174" w:rsidRDefault="00520302">
      <w:pPr>
        <w:pStyle w:val="TableofFigures"/>
        <w:tabs>
          <w:tab w:val="right" w:leader="dot" w:pos="9016"/>
        </w:tabs>
        <w:rPr>
          <w:noProof/>
          <w:sz w:val="22"/>
          <w:szCs w:val="22"/>
          <w:lang w:val="en-US"/>
        </w:rPr>
      </w:pPr>
      <w:hyperlink w:anchor="_Toc476984145" w:history="1">
        <w:r w:rsidR="00A87174" w:rsidRPr="009D5D7B">
          <w:rPr>
            <w:rStyle w:val="Hyperlink"/>
            <w:rFonts w:asciiTheme="majorHAnsi" w:hAnsiTheme="majorHAnsi"/>
            <w:noProof/>
          </w:rPr>
          <w:t>Table 7:Legal Rights and Restrictions on different types of Organisations</w:t>
        </w:r>
        <w:r w:rsidR="00A87174">
          <w:rPr>
            <w:noProof/>
            <w:webHidden/>
          </w:rPr>
          <w:tab/>
        </w:r>
        <w:r w:rsidR="00A87174">
          <w:rPr>
            <w:noProof/>
            <w:webHidden/>
          </w:rPr>
          <w:fldChar w:fldCharType="begin"/>
        </w:r>
        <w:r w:rsidR="00A87174">
          <w:rPr>
            <w:noProof/>
            <w:webHidden/>
          </w:rPr>
          <w:instrText xml:space="preserve"> PAGEREF _Toc476984145 \h </w:instrText>
        </w:r>
        <w:r w:rsidR="00A87174">
          <w:rPr>
            <w:noProof/>
            <w:webHidden/>
          </w:rPr>
        </w:r>
        <w:r w:rsidR="00A87174">
          <w:rPr>
            <w:noProof/>
            <w:webHidden/>
          </w:rPr>
          <w:fldChar w:fldCharType="separate"/>
        </w:r>
        <w:r w:rsidR="00A87174">
          <w:rPr>
            <w:noProof/>
            <w:webHidden/>
          </w:rPr>
          <w:t>36</w:t>
        </w:r>
        <w:r w:rsidR="00A87174">
          <w:rPr>
            <w:noProof/>
            <w:webHidden/>
          </w:rPr>
          <w:fldChar w:fldCharType="end"/>
        </w:r>
      </w:hyperlink>
    </w:p>
    <w:p w14:paraId="1C852B14" w14:textId="2F80617F" w:rsidR="00D661D9" w:rsidRPr="00EA0EA9" w:rsidRDefault="009D7BF7" w:rsidP="00216FAF">
      <w:pPr>
        <w:jc w:val="both"/>
        <w:rPr>
          <w:rFonts w:ascii="Cambria" w:hAnsi="Cambria"/>
          <w:sz w:val="22"/>
        </w:rPr>
      </w:pPr>
      <w:r w:rsidRPr="00EA0EA9">
        <w:rPr>
          <w:rFonts w:asciiTheme="majorHAnsi" w:hAnsiTheme="majorHAnsi"/>
          <w:b/>
          <w:color w:val="00FF00"/>
          <w:sz w:val="40"/>
        </w:rPr>
        <w:fldChar w:fldCharType="end"/>
      </w:r>
      <w:r w:rsidRPr="00EA0EA9">
        <w:rPr>
          <w:rFonts w:asciiTheme="majorHAnsi" w:hAnsiTheme="majorHAnsi"/>
          <w:b/>
          <w:color w:val="00FF00"/>
          <w:sz w:val="40"/>
        </w:rPr>
        <w:fldChar w:fldCharType="begin"/>
      </w:r>
      <w:r w:rsidR="00D661D9" w:rsidRPr="00EA0EA9">
        <w:rPr>
          <w:rFonts w:asciiTheme="majorHAnsi" w:hAnsiTheme="majorHAnsi"/>
          <w:b/>
          <w:color w:val="00FF00"/>
          <w:sz w:val="40"/>
        </w:rPr>
        <w:instrText xml:space="preserve"> TOC \h \z \c "Box" </w:instrText>
      </w:r>
      <w:r w:rsidRPr="00EA0EA9">
        <w:rPr>
          <w:rFonts w:asciiTheme="majorHAnsi" w:hAnsiTheme="majorHAnsi"/>
          <w:b/>
          <w:color w:val="00FF00"/>
          <w:sz w:val="40"/>
        </w:rPr>
        <w:fldChar w:fldCharType="separate"/>
      </w:r>
    </w:p>
    <w:p w14:paraId="3BD258A3" w14:textId="77777777" w:rsidR="00D661D9" w:rsidRPr="00EA0EA9" w:rsidRDefault="00520302">
      <w:pPr>
        <w:pStyle w:val="TableofFigures"/>
        <w:tabs>
          <w:tab w:val="right" w:leader="dot" w:pos="9016"/>
        </w:tabs>
        <w:rPr>
          <w:rFonts w:ascii="Cambria" w:hAnsi="Cambria"/>
          <w:sz w:val="20"/>
          <w:szCs w:val="22"/>
          <w:lang w:eastAsia="en-GB"/>
        </w:rPr>
      </w:pPr>
      <w:hyperlink w:anchor="_Toc475147230" w:history="1">
        <w:r w:rsidR="00D661D9" w:rsidRPr="00EA0EA9">
          <w:rPr>
            <w:rStyle w:val="Hyperlink"/>
            <w:rFonts w:ascii="Cambria" w:hAnsi="Cambria"/>
            <w:sz w:val="22"/>
          </w:rPr>
          <w:t>Box 1: Five criteria for indentifying NPOs</w:t>
        </w:r>
        <w:r w:rsidR="00D661D9" w:rsidRPr="00EA0EA9">
          <w:rPr>
            <w:rFonts w:ascii="Cambria" w:hAnsi="Cambria"/>
            <w:webHidden/>
            <w:sz w:val="22"/>
          </w:rPr>
          <w:tab/>
        </w:r>
        <w:r w:rsidR="009D7BF7" w:rsidRPr="00EA0EA9">
          <w:rPr>
            <w:rFonts w:ascii="Cambria" w:hAnsi="Cambria"/>
            <w:webHidden/>
            <w:sz w:val="22"/>
          </w:rPr>
          <w:fldChar w:fldCharType="begin"/>
        </w:r>
        <w:r w:rsidR="00D661D9" w:rsidRPr="00EA0EA9">
          <w:rPr>
            <w:rFonts w:ascii="Cambria" w:hAnsi="Cambria"/>
            <w:webHidden/>
            <w:sz w:val="22"/>
          </w:rPr>
          <w:instrText xml:space="preserve"> PAGEREF _Toc475147230 \h </w:instrText>
        </w:r>
        <w:r w:rsidR="009D7BF7" w:rsidRPr="00EA0EA9">
          <w:rPr>
            <w:rFonts w:ascii="Cambria" w:hAnsi="Cambria"/>
            <w:webHidden/>
            <w:sz w:val="22"/>
          </w:rPr>
        </w:r>
        <w:r w:rsidR="009D7BF7" w:rsidRPr="00EA0EA9">
          <w:rPr>
            <w:rFonts w:ascii="Cambria" w:hAnsi="Cambria"/>
            <w:webHidden/>
            <w:sz w:val="22"/>
          </w:rPr>
          <w:fldChar w:fldCharType="separate"/>
        </w:r>
        <w:r w:rsidR="003512E4" w:rsidRPr="00EA0EA9">
          <w:rPr>
            <w:rFonts w:ascii="Cambria" w:hAnsi="Cambria"/>
            <w:webHidden/>
            <w:sz w:val="22"/>
          </w:rPr>
          <w:t>20</w:t>
        </w:r>
        <w:r w:rsidR="009D7BF7" w:rsidRPr="00EA0EA9">
          <w:rPr>
            <w:rFonts w:ascii="Cambria" w:hAnsi="Cambria"/>
            <w:webHidden/>
            <w:sz w:val="22"/>
          </w:rPr>
          <w:fldChar w:fldCharType="end"/>
        </w:r>
      </w:hyperlink>
    </w:p>
    <w:p w14:paraId="0F9F2BCD" w14:textId="2B36CB50" w:rsidR="001D1499" w:rsidRPr="00EA0EA9" w:rsidRDefault="009D7BF7" w:rsidP="00216FAF">
      <w:pPr>
        <w:jc w:val="both"/>
        <w:rPr>
          <w:rFonts w:asciiTheme="majorHAnsi" w:hAnsiTheme="majorHAnsi"/>
          <w:b/>
          <w:color w:val="00FF00"/>
          <w:sz w:val="40"/>
        </w:rPr>
      </w:pPr>
      <w:r w:rsidRPr="00EA0EA9">
        <w:rPr>
          <w:rFonts w:asciiTheme="majorHAnsi" w:hAnsiTheme="majorHAnsi"/>
          <w:b/>
          <w:color w:val="00FF00"/>
          <w:sz w:val="40"/>
        </w:rPr>
        <w:fldChar w:fldCharType="end"/>
      </w:r>
    </w:p>
    <w:p w14:paraId="09003EC6" w14:textId="77777777" w:rsidR="001D1499" w:rsidRPr="00EA0EA9" w:rsidRDefault="001D1499" w:rsidP="001D1499">
      <w:pPr>
        <w:rPr>
          <w:rFonts w:asciiTheme="majorHAnsi" w:hAnsiTheme="majorHAnsi"/>
          <w:sz w:val="40"/>
        </w:rPr>
      </w:pPr>
    </w:p>
    <w:p w14:paraId="42AEAE2E" w14:textId="77777777" w:rsidR="001D1499" w:rsidRPr="00EA0EA9" w:rsidRDefault="001D1499" w:rsidP="001D1499">
      <w:pPr>
        <w:rPr>
          <w:rFonts w:asciiTheme="majorHAnsi" w:hAnsiTheme="majorHAnsi"/>
          <w:sz w:val="40"/>
        </w:rPr>
      </w:pPr>
    </w:p>
    <w:p w14:paraId="03525492" w14:textId="77777777" w:rsidR="001D1499" w:rsidRPr="00EA0EA9" w:rsidRDefault="001D1499" w:rsidP="001D1499">
      <w:pPr>
        <w:rPr>
          <w:rFonts w:asciiTheme="majorHAnsi" w:hAnsiTheme="majorHAnsi"/>
          <w:sz w:val="40"/>
        </w:rPr>
      </w:pPr>
    </w:p>
    <w:p w14:paraId="28A0CE02" w14:textId="77777777" w:rsidR="001D1499" w:rsidRPr="00EA0EA9" w:rsidRDefault="001D1499" w:rsidP="001D1499">
      <w:pPr>
        <w:rPr>
          <w:rFonts w:asciiTheme="majorHAnsi" w:hAnsiTheme="majorHAnsi"/>
          <w:sz w:val="40"/>
        </w:rPr>
      </w:pPr>
    </w:p>
    <w:p w14:paraId="307AB82E" w14:textId="77777777" w:rsidR="001D1499" w:rsidRPr="00EA0EA9" w:rsidRDefault="001D1499" w:rsidP="001D1499">
      <w:pPr>
        <w:rPr>
          <w:rFonts w:asciiTheme="majorHAnsi" w:hAnsiTheme="majorHAnsi"/>
          <w:sz w:val="40"/>
        </w:rPr>
      </w:pPr>
    </w:p>
    <w:p w14:paraId="4F83EA1D" w14:textId="77777777" w:rsidR="001D1499" w:rsidRPr="00EA0EA9" w:rsidRDefault="001D1499" w:rsidP="001D1499">
      <w:pPr>
        <w:rPr>
          <w:rFonts w:asciiTheme="majorHAnsi" w:hAnsiTheme="majorHAnsi"/>
          <w:sz w:val="40"/>
        </w:rPr>
      </w:pPr>
    </w:p>
    <w:p w14:paraId="65BF1CAF" w14:textId="77777777" w:rsidR="001D1499" w:rsidRPr="00EA0EA9" w:rsidRDefault="001D1499" w:rsidP="001D1499">
      <w:pPr>
        <w:rPr>
          <w:rFonts w:asciiTheme="majorHAnsi" w:hAnsiTheme="majorHAnsi"/>
          <w:sz w:val="40"/>
        </w:rPr>
      </w:pPr>
    </w:p>
    <w:p w14:paraId="264C3AFD" w14:textId="77777777" w:rsidR="001D1499" w:rsidRPr="00EA0EA9" w:rsidRDefault="001D1499" w:rsidP="001D1499">
      <w:pPr>
        <w:rPr>
          <w:rFonts w:asciiTheme="majorHAnsi" w:hAnsiTheme="majorHAnsi"/>
          <w:sz w:val="40"/>
        </w:rPr>
      </w:pPr>
    </w:p>
    <w:p w14:paraId="21BF94E0" w14:textId="77777777" w:rsidR="001D1499" w:rsidRPr="00EA0EA9" w:rsidRDefault="001D1499" w:rsidP="001D1499">
      <w:pPr>
        <w:rPr>
          <w:rFonts w:asciiTheme="majorHAnsi" w:hAnsiTheme="majorHAnsi"/>
          <w:sz w:val="40"/>
        </w:rPr>
      </w:pPr>
    </w:p>
    <w:p w14:paraId="38557BBE" w14:textId="77777777" w:rsidR="001D1499" w:rsidRPr="00EA0EA9" w:rsidRDefault="001D1499" w:rsidP="001D1499">
      <w:pPr>
        <w:rPr>
          <w:rFonts w:asciiTheme="majorHAnsi" w:hAnsiTheme="majorHAnsi"/>
          <w:sz w:val="40"/>
        </w:rPr>
      </w:pPr>
    </w:p>
    <w:p w14:paraId="702292E7" w14:textId="4278FB45" w:rsidR="001D1499" w:rsidRPr="00EA0EA9" w:rsidRDefault="001D1499" w:rsidP="001D1499">
      <w:pPr>
        <w:rPr>
          <w:rFonts w:asciiTheme="majorHAnsi" w:hAnsiTheme="majorHAnsi"/>
          <w:sz w:val="40"/>
        </w:rPr>
      </w:pPr>
    </w:p>
    <w:p w14:paraId="364C5857" w14:textId="195E6DE4" w:rsidR="001D1499" w:rsidRPr="00EA0EA9" w:rsidRDefault="001D1499" w:rsidP="001D1499">
      <w:pPr>
        <w:tabs>
          <w:tab w:val="left" w:pos="3615"/>
        </w:tabs>
        <w:rPr>
          <w:rFonts w:asciiTheme="majorHAnsi" w:hAnsiTheme="majorHAnsi"/>
          <w:sz w:val="40"/>
        </w:rPr>
      </w:pPr>
      <w:r w:rsidRPr="00EA0EA9">
        <w:rPr>
          <w:rFonts w:asciiTheme="majorHAnsi" w:hAnsiTheme="majorHAnsi"/>
          <w:sz w:val="40"/>
        </w:rPr>
        <w:tab/>
      </w:r>
    </w:p>
    <w:p w14:paraId="3FD9991B" w14:textId="62017FD8" w:rsidR="001D16DF" w:rsidRPr="00EA0EA9" w:rsidRDefault="001D1499" w:rsidP="001D1499">
      <w:pPr>
        <w:tabs>
          <w:tab w:val="left" w:pos="3615"/>
        </w:tabs>
        <w:rPr>
          <w:rFonts w:asciiTheme="majorHAnsi" w:hAnsiTheme="majorHAnsi"/>
          <w:sz w:val="40"/>
        </w:rPr>
        <w:sectPr w:rsidR="001D16DF" w:rsidRPr="00EA0EA9" w:rsidSect="0053255E">
          <w:footerReference w:type="default" r:id="rId8"/>
          <w:pgSz w:w="11906" w:h="16838"/>
          <w:pgMar w:top="1440" w:right="1440" w:bottom="1440" w:left="1440" w:header="708" w:footer="708" w:gutter="0"/>
          <w:pgNumType w:fmt="lowerRoman" w:start="1"/>
          <w:cols w:space="708"/>
          <w:docGrid w:linePitch="360"/>
        </w:sectPr>
      </w:pPr>
      <w:r w:rsidRPr="00EA0EA9">
        <w:rPr>
          <w:rFonts w:asciiTheme="majorHAnsi" w:hAnsiTheme="majorHAnsi"/>
          <w:sz w:val="40"/>
        </w:rPr>
        <w:tab/>
      </w:r>
    </w:p>
    <w:p w14:paraId="68600EFE" w14:textId="77777777" w:rsidR="004A7BE6" w:rsidRPr="00EA0EA9" w:rsidRDefault="0053255E" w:rsidP="00216FAF">
      <w:pPr>
        <w:pStyle w:val="Heading1"/>
        <w:jc w:val="both"/>
        <w:rPr>
          <w:color w:val="00B050"/>
          <w:sz w:val="36"/>
        </w:rPr>
      </w:pPr>
      <w:bookmarkStart w:id="0" w:name="_Toc476983567"/>
      <w:r w:rsidRPr="00EA0EA9">
        <w:rPr>
          <w:color w:val="00B050"/>
          <w:sz w:val="32"/>
        </w:rPr>
        <w:lastRenderedPageBreak/>
        <w:t xml:space="preserve">LIST OF </w:t>
      </w:r>
      <w:r w:rsidR="004A7BE6" w:rsidRPr="00EA0EA9">
        <w:rPr>
          <w:color w:val="00B050"/>
          <w:sz w:val="32"/>
        </w:rPr>
        <w:t>ACRONYMS</w:t>
      </w:r>
      <w:bookmarkEnd w:id="0"/>
    </w:p>
    <w:p w14:paraId="482C16F7" w14:textId="77777777" w:rsidR="004A7BE6" w:rsidRPr="00EA0EA9" w:rsidRDefault="004A7BE6" w:rsidP="00216FAF">
      <w:pPr>
        <w:jc w:val="both"/>
        <w:rPr>
          <w:rFonts w:asciiTheme="majorHAnsi" w:hAnsiTheme="majorHAnsi"/>
          <w:b/>
          <w:color w:val="00FF00"/>
          <w:sz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4"/>
        <w:gridCol w:w="7066"/>
      </w:tblGrid>
      <w:tr w:rsidR="00D661D9" w:rsidRPr="00EA0EA9" w14:paraId="00F27204" w14:textId="77777777" w:rsidTr="00D661D9">
        <w:trPr>
          <w:trHeight w:val="368"/>
        </w:trPr>
        <w:tc>
          <w:tcPr>
            <w:tcW w:w="1244" w:type="dxa"/>
          </w:tcPr>
          <w:p w14:paraId="5E79E2C3" w14:textId="77777777" w:rsidR="00D661D9" w:rsidRPr="00EA0EA9" w:rsidRDefault="00D661D9" w:rsidP="003512E4">
            <w:pPr>
              <w:rPr>
                <w:rFonts w:ascii="Cambria" w:hAnsi="Cambria"/>
              </w:rPr>
            </w:pPr>
            <w:r w:rsidRPr="00EA0EA9">
              <w:rPr>
                <w:rFonts w:ascii="Cambria" w:hAnsi="Cambria"/>
              </w:rPr>
              <w:t>AAA</w:t>
            </w:r>
          </w:p>
        </w:tc>
        <w:tc>
          <w:tcPr>
            <w:tcW w:w="7066" w:type="dxa"/>
          </w:tcPr>
          <w:p w14:paraId="04FD354D" w14:textId="77777777" w:rsidR="00D661D9" w:rsidRPr="00EA0EA9" w:rsidRDefault="00D661D9" w:rsidP="003512E4">
            <w:pPr>
              <w:rPr>
                <w:rFonts w:ascii="Cambria" w:hAnsi="Cambria"/>
              </w:rPr>
            </w:pPr>
            <w:r w:rsidRPr="00EA0EA9">
              <w:rPr>
                <w:rFonts w:ascii="Cambria" w:hAnsi="Cambria"/>
                <w:bCs/>
              </w:rPr>
              <w:t>Accra Agenda for Action</w:t>
            </w:r>
          </w:p>
        </w:tc>
      </w:tr>
      <w:tr w:rsidR="00D661D9" w:rsidRPr="00EA0EA9" w14:paraId="470095CD" w14:textId="77777777" w:rsidTr="00D661D9">
        <w:trPr>
          <w:trHeight w:val="368"/>
        </w:trPr>
        <w:tc>
          <w:tcPr>
            <w:tcW w:w="1244" w:type="dxa"/>
          </w:tcPr>
          <w:p w14:paraId="700CA8EA" w14:textId="77777777" w:rsidR="00D661D9" w:rsidRPr="00EA0EA9" w:rsidRDefault="00D661D9" w:rsidP="003512E4">
            <w:pPr>
              <w:rPr>
                <w:rFonts w:ascii="Cambria" w:hAnsi="Cambria"/>
              </w:rPr>
            </w:pPr>
            <w:r w:rsidRPr="00EA0EA9">
              <w:rPr>
                <w:rFonts w:ascii="Cambria" w:hAnsi="Cambria"/>
              </w:rPr>
              <w:t>AIDS</w:t>
            </w:r>
          </w:p>
        </w:tc>
        <w:tc>
          <w:tcPr>
            <w:tcW w:w="7066" w:type="dxa"/>
          </w:tcPr>
          <w:p w14:paraId="30B91252" w14:textId="77777777" w:rsidR="00D661D9" w:rsidRPr="00EA0EA9" w:rsidRDefault="00D661D9" w:rsidP="003512E4">
            <w:pPr>
              <w:rPr>
                <w:rFonts w:ascii="Cambria" w:hAnsi="Cambria"/>
              </w:rPr>
            </w:pPr>
            <w:r w:rsidRPr="00EA0EA9">
              <w:rPr>
                <w:rFonts w:ascii="Cambria" w:hAnsi="Cambria"/>
              </w:rPr>
              <w:t>Acquired Immune Deficiency Syndrome</w:t>
            </w:r>
          </w:p>
        </w:tc>
      </w:tr>
      <w:tr w:rsidR="00D661D9" w:rsidRPr="00EA0EA9" w14:paraId="4FBDC757" w14:textId="77777777" w:rsidTr="00D661D9">
        <w:trPr>
          <w:trHeight w:val="389"/>
        </w:trPr>
        <w:tc>
          <w:tcPr>
            <w:tcW w:w="1244" w:type="dxa"/>
          </w:tcPr>
          <w:p w14:paraId="7C7FB448" w14:textId="77777777" w:rsidR="00D661D9" w:rsidRPr="00EA0EA9" w:rsidRDefault="00D661D9" w:rsidP="003512E4">
            <w:pPr>
              <w:rPr>
                <w:rFonts w:ascii="Cambria" w:hAnsi="Cambria"/>
              </w:rPr>
            </w:pPr>
            <w:r w:rsidRPr="00EA0EA9">
              <w:rPr>
                <w:rFonts w:ascii="Cambria" w:hAnsi="Cambria"/>
              </w:rPr>
              <w:t>BRICS</w:t>
            </w:r>
          </w:p>
        </w:tc>
        <w:tc>
          <w:tcPr>
            <w:tcW w:w="7066" w:type="dxa"/>
          </w:tcPr>
          <w:p w14:paraId="4A34340E" w14:textId="77777777" w:rsidR="00D661D9" w:rsidRPr="00EA0EA9" w:rsidRDefault="00D661D9" w:rsidP="003512E4">
            <w:pPr>
              <w:rPr>
                <w:rFonts w:ascii="Cambria" w:hAnsi="Cambria"/>
              </w:rPr>
            </w:pPr>
            <w:r w:rsidRPr="00EA0EA9">
              <w:rPr>
                <w:rFonts w:ascii="Cambria" w:hAnsi="Cambria"/>
                <w:bCs/>
              </w:rPr>
              <w:t>Brazil, Russia, India, China and South Africa</w:t>
            </w:r>
          </w:p>
        </w:tc>
      </w:tr>
      <w:tr w:rsidR="00D661D9" w:rsidRPr="00EA0EA9" w14:paraId="48216C0E" w14:textId="77777777" w:rsidTr="00D661D9">
        <w:trPr>
          <w:trHeight w:val="411"/>
        </w:trPr>
        <w:tc>
          <w:tcPr>
            <w:tcW w:w="1244" w:type="dxa"/>
          </w:tcPr>
          <w:p w14:paraId="3E952EAB" w14:textId="77777777" w:rsidR="00D661D9" w:rsidRPr="00EA0EA9" w:rsidRDefault="00D661D9" w:rsidP="003512E4">
            <w:pPr>
              <w:rPr>
                <w:rFonts w:ascii="Cambria" w:hAnsi="Cambria"/>
              </w:rPr>
            </w:pPr>
            <w:r w:rsidRPr="00EA0EA9">
              <w:rPr>
                <w:rFonts w:ascii="Cambria" w:hAnsi="Cambria"/>
              </w:rPr>
              <w:t>CSG</w:t>
            </w:r>
          </w:p>
        </w:tc>
        <w:tc>
          <w:tcPr>
            <w:tcW w:w="7066" w:type="dxa"/>
          </w:tcPr>
          <w:p w14:paraId="7C2C3CB2" w14:textId="77777777" w:rsidR="00D661D9" w:rsidRPr="00EA0EA9" w:rsidRDefault="00D661D9" w:rsidP="003512E4">
            <w:pPr>
              <w:rPr>
                <w:rFonts w:ascii="Cambria" w:hAnsi="Cambria"/>
              </w:rPr>
            </w:pPr>
            <w:r w:rsidRPr="00EA0EA9">
              <w:rPr>
                <w:rFonts w:asciiTheme="majorHAnsi" w:hAnsiTheme="majorHAnsi"/>
              </w:rPr>
              <w:t>Child Support Grant</w:t>
            </w:r>
          </w:p>
        </w:tc>
      </w:tr>
      <w:tr w:rsidR="00D661D9" w:rsidRPr="00EA0EA9" w14:paraId="38427544" w14:textId="77777777" w:rsidTr="00D661D9">
        <w:trPr>
          <w:trHeight w:val="368"/>
        </w:trPr>
        <w:tc>
          <w:tcPr>
            <w:tcW w:w="1244" w:type="dxa"/>
          </w:tcPr>
          <w:p w14:paraId="453B246F" w14:textId="77777777" w:rsidR="00D661D9" w:rsidRPr="00EA0EA9" w:rsidRDefault="00D661D9" w:rsidP="003512E4">
            <w:pPr>
              <w:rPr>
                <w:rFonts w:ascii="Cambria" w:hAnsi="Cambria"/>
              </w:rPr>
            </w:pPr>
            <w:r w:rsidRPr="00EA0EA9">
              <w:rPr>
                <w:rFonts w:ascii="Cambria" w:hAnsi="Cambria"/>
              </w:rPr>
              <w:t>CSOs</w:t>
            </w:r>
          </w:p>
        </w:tc>
        <w:tc>
          <w:tcPr>
            <w:tcW w:w="7066" w:type="dxa"/>
          </w:tcPr>
          <w:p w14:paraId="08F19DE1" w14:textId="77777777" w:rsidR="00D661D9" w:rsidRPr="00EA0EA9" w:rsidRDefault="00D661D9" w:rsidP="003512E4">
            <w:pPr>
              <w:rPr>
                <w:rFonts w:ascii="Cambria" w:hAnsi="Cambria"/>
              </w:rPr>
            </w:pPr>
            <w:r w:rsidRPr="00EA0EA9">
              <w:rPr>
                <w:rFonts w:ascii="Cambria" w:hAnsi="Cambria"/>
              </w:rPr>
              <w:t xml:space="preserve">Civil Society Organisations </w:t>
            </w:r>
          </w:p>
        </w:tc>
      </w:tr>
      <w:tr w:rsidR="00D661D9" w:rsidRPr="00EA0EA9" w14:paraId="65C5DB83" w14:textId="77777777" w:rsidTr="00D661D9">
        <w:trPr>
          <w:trHeight w:val="368"/>
        </w:trPr>
        <w:tc>
          <w:tcPr>
            <w:tcW w:w="1244" w:type="dxa"/>
          </w:tcPr>
          <w:p w14:paraId="689971D7" w14:textId="77777777" w:rsidR="00D661D9" w:rsidRPr="00EA0EA9" w:rsidRDefault="00D661D9" w:rsidP="003512E4">
            <w:pPr>
              <w:rPr>
                <w:rFonts w:ascii="Cambria" w:hAnsi="Cambria"/>
              </w:rPr>
            </w:pPr>
            <w:r w:rsidRPr="00EA0EA9">
              <w:rPr>
                <w:rFonts w:ascii="Cambria" w:hAnsi="Cambria"/>
                <w:bCs/>
              </w:rPr>
              <w:t>GEAR</w:t>
            </w:r>
          </w:p>
        </w:tc>
        <w:tc>
          <w:tcPr>
            <w:tcW w:w="7066" w:type="dxa"/>
          </w:tcPr>
          <w:p w14:paraId="61B13186" w14:textId="741DAE60" w:rsidR="00D661D9" w:rsidRPr="00EA0EA9" w:rsidRDefault="00D661D9" w:rsidP="003512E4">
            <w:pPr>
              <w:rPr>
                <w:rFonts w:ascii="Cambria" w:hAnsi="Cambria"/>
              </w:rPr>
            </w:pPr>
            <w:r w:rsidRPr="00EA0EA9">
              <w:rPr>
                <w:rFonts w:ascii="Cambria" w:hAnsi="Cambria"/>
                <w:bCs/>
              </w:rPr>
              <w:t>Growth,</w:t>
            </w:r>
            <w:r w:rsidR="001D1499" w:rsidRPr="00EA0EA9">
              <w:rPr>
                <w:rFonts w:ascii="Cambria" w:hAnsi="Cambria"/>
                <w:bCs/>
              </w:rPr>
              <w:t xml:space="preserve"> </w:t>
            </w:r>
            <w:r w:rsidRPr="00EA0EA9">
              <w:rPr>
                <w:rFonts w:ascii="Cambria" w:hAnsi="Cambria"/>
                <w:bCs/>
              </w:rPr>
              <w:t>Employment and Redistribution</w:t>
            </w:r>
          </w:p>
        </w:tc>
      </w:tr>
      <w:tr w:rsidR="00D661D9" w:rsidRPr="00EA0EA9" w14:paraId="187293C8" w14:textId="77777777" w:rsidTr="00D661D9">
        <w:trPr>
          <w:trHeight w:val="368"/>
        </w:trPr>
        <w:tc>
          <w:tcPr>
            <w:tcW w:w="1244" w:type="dxa"/>
          </w:tcPr>
          <w:p w14:paraId="728317C3" w14:textId="77777777" w:rsidR="00D661D9" w:rsidRPr="00EA0EA9" w:rsidRDefault="00D661D9" w:rsidP="003512E4">
            <w:pPr>
              <w:rPr>
                <w:rFonts w:ascii="Cambria" w:hAnsi="Cambria"/>
                <w:bCs/>
              </w:rPr>
            </w:pPr>
            <w:r w:rsidRPr="00EA0EA9">
              <w:rPr>
                <w:rFonts w:ascii="Cambria" w:hAnsi="Cambria"/>
                <w:bCs/>
              </w:rPr>
              <w:t>HIV</w:t>
            </w:r>
          </w:p>
        </w:tc>
        <w:tc>
          <w:tcPr>
            <w:tcW w:w="7066" w:type="dxa"/>
          </w:tcPr>
          <w:p w14:paraId="2A33989D" w14:textId="77777777" w:rsidR="00D661D9" w:rsidRPr="00EA0EA9" w:rsidRDefault="00D661D9" w:rsidP="003512E4">
            <w:pPr>
              <w:rPr>
                <w:rFonts w:ascii="Cambria" w:hAnsi="Cambria"/>
                <w:bCs/>
              </w:rPr>
            </w:pPr>
            <w:r w:rsidRPr="00EA0EA9">
              <w:rPr>
                <w:rFonts w:ascii="Cambria" w:hAnsi="Cambria"/>
              </w:rPr>
              <w:t>Human Immune Virus</w:t>
            </w:r>
          </w:p>
        </w:tc>
      </w:tr>
      <w:tr w:rsidR="00D661D9" w:rsidRPr="00EA0EA9" w14:paraId="7833EA42" w14:textId="77777777" w:rsidTr="00D661D9">
        <w:trPr>
          <w:trHeight w:val="368"/>
        </w:trPr>
        <w:tc>
          <w:tcPr>
            <w:tcW w:w="1244" w:type="dxa"/>
          </w:tcPr>
          <w:p w14:paraId="7E9C23D6" w14:textId="77777777" w:rsidR="00D661D9" w:rsidRPr="00EA0EA9" w:rsidRDefault="00D661D9" w:rsidP="003512E4">
            <w:pPr>
              <w:rPr>
                <w:rFonts w:ascii="Cambria" w:hAnsi="Cambria"/>
                <w:bCs/>
              </w:rPr>
            </w:pPr>
            <w:r w:rsidRPr="00EA0EA9">
              <w:rPr>
                <w:rFonts w:ascii="Cambria" w:hAnsi="Cambria"/>
                <w:bCs/>
              </w:rPr>
              <w:t>HLF4</w:t>
            </w:r>
          </w:p>
        </w:tc>
        <w:tc>
          <w:tcPr>
            <w:tcW w:w="7066" w:type="dxa"/>
          </w:tcPr>
          <w:p w14:paraId="4717D42F" w14:textId="77777777" w:rsidR="00D661D9" w:rsidRPr="00EA0EA9" w:rsidRDefault="00D661D9" w:rsidP="003512E4">
            <w:pPr>
              <w:rPr>
                <w:rFonts w:ascii="Cambria" w:hAnsi="Cambria"/>
              </w:rPr>
            </w:pPr>
            <w:r w:rsidRPr="00EA0EA9">
              <w:rPr>
                <w:rFonts w:ascii="Cambria" w:hAnsi="Cambria"/>
              </w:rPr>
              <w:t>Fourth High Level Forum on Aid Effectiveness</w:t>
            </w:r>
          </w:p>
        </w:tc>
      </w:tr>
      <w:tr w:rsidR="00D661D9" w:rsidRPr="00EA0EA9" w14:paraId="69633BE5" w14:textId="77777777" w:rsidTr="00D661D9">
        <w:trPr>
          <w:trHeight w:val="368"/>
        </w:trPr>
        <w:tc>
          <w:tcPr>
            <w:tcW w:w="1244" w:type="dxa"/>
          </w:tcPr>
          <w:p w14:paraId="7AAEE859" w14:textId="77777777" w:rsidR="00D661D9" w:rsidRPr="00EA0EA9" w:rsidRDefault="00D661D9" w:rsidP="003512E4">
            <w:pPr>
              <w:rPr>
                <w:rFonts w:ascii="Cambria" w:hAnsi="Cambria"/>
                <w:bCs/>
              </w:rPr>
            </w:pPr>
            <w:r w:rsidRPr="00EA0EA9">
              <w:rPr>
                <w:rFonts w:ascii="Cambria" w:hAnsi="Cambria"/>
                <w:bCs/>
              </w:rPr>
              <w:t>ILO</w:t>
            </w:r>
          </w:p>
        </w:tc>
        <w:tc>
          <w:tcPr>
            <w:tcW w:w="7066" w:type="dxa"/>
          </w:tcPr>
          <w:p w14:paraId="2314A0A2" w14:textId="77777777" w:rsidR="00D661D9" w:rsidRPr="00EA0EA9" w:rsidRDefault="00D661D9" w:rsidP="003512E4">
            <w:pPr>
              <w:rPr>
                <w:rFonts w:ascii="Cambria" w:hAnsi="Cambria"/>
                <w:bCs/>
              </w:rPr>
            </w:pPr>
            <w:r w:rsidRPr="00EA0EA9">
              <w:rPr>
                <w:rFonts w:ascii="Cambria" w:hAnsi="Cambria"/>
              </w:rPr>
              <w:t>International Labour Organisation</w:t>
            </w:r>
          </w:p>
        </w:tc>
      </w:tr>
      <w:tr w:rsidR="00D661D9" w:rsidRPr="00EA0EA9" w14:paraId="3A76BA15" w14:textId="77777777" w:rsidTr="00D661D9">
        <w:trPr>
          <w:trHeight w:val="389"/>
        </w:trPr>
        <w:tc>
          <w:tcPr>
            <w:tcW w:w="1244" w:type="dxa"/>
          </w:tcPr>
          <w:p w14:paraId="1EFDA040" w14:textId="77777777" w:rsidR="00D661D9" w:rsidRPr="00EA0EA9" w:rsidRDefault="00D661D9" w:rsidP="003512E4">
            <w:pPr>
              <w:rPr>
                <w:rFonts w:ascii="Cambria" w:hAnsi="Cambria"/>
                <w:bCs/>
              </w:rPr>
            </w:pPr>
            <w:r w:rsidRPr="00EA0EA9">
              <w:rPr>
                <w:rFonts w:ascii="Cambria" w:hAnsi="Cambria"/>
                <w:bCs/>
              </w:rPr>
              <w:t>MDGs</w:t>
            </w:r>
          </w:p>
        </w:tc>
        <w:tc>
          <w:tcPr>
            <w:tcW w:w="7066" w:type="dxa"/>
          </w:tcPr>
          <w:p w14:paraId="02F98BD9" w14:textId="77777777" w:rsidR="00D661D9" w:rsidRPr="00EA0EA9" w:rsidRDefault="00D661D9" w:rsidP="003512E4">
            <w:pPr>
              <w:rPr>
                <w:rFonts w:ascii="Cambria" w:hAnsi="Cambria"/>
                <w:bCs/>
              </w:rPr>
            </w:pPr>
            <w:r w:rsidRPr="00EA0EA9">
              <w:rPr>
                <w:rFonts w:ascii="Cambria" w:hAnsi="Cambria"/>
              </w:rPr>
              <w:t>Millennium Development Goals</w:t>
            </w:r>
          </w:p>
        </w:tc>
      </w:tr>
      <w:tr w:rsidR="00D661D9" w:rsidRPr="00EA0EA9" w14:paraId="014B9806" w14:textId="77777777" w:rsidTr="00D661D9">
        <w:trPr>
          <w:trHeight w:val="368"/>
        </w:trPr>
        <w:tc>
          <w:tcPr>
            <w:tcW w:w="1244" w:type="dxa"/>
          </w:tcPr>
          <w:p w14:paraId="77CD7E96" w14:textId="77777777" w:rsidR="00D661D9" w:rsidRPr="00EA0EA9" w:rsidRDefault="00D661D9" w:rsidP="003512E4">
            <w:pPr>
              <w:rPr>
                <w:rFonts w:ascii="Cambria" w:hAnsi="Cambria"/>
                <w:bCs/>
              </w:rPr>
            </w:pPr>
            <w:r w:rsidRPr="00EA0EA9">
              <w:rPr>
                <w:rFonts w:ascii="Cambria" w:hAnsi="Cambria"/>
                <w:bCs/>
              </w:rPr>
              <w:t>NGOs</w:t>
            </w:r>
          </w:p>
        </w:tc>
        <w:tc>
          <w:tcPr>
            <w:tcW w:w="7066" w:type="dxa"/>
          </w:tcPr>
          <w:p w14:paraId="217E31DC" w14:textId="77777777" w:rsidR="00D661D9" w:rsidRPr="00EA0EA9" w:rsidRDefault="00D661D9" w:rsidP="003512E4">
            <w:pPr>
              <w:rPr>
                <w:rFonts w:ascii="Cambria" w:hAnsi="Cambria"/>
                <w:bCs/>
              </w:rPr>
            </w:pPr>
            <w:r w:rsidRPr="00EA0EA9">
              <w:rPr>
                <w:rFonts w:asciiTheme="majorHAnsi" w:eastAsia="Times New Roman" w:hAnsiTheme="majorHAnsi" w:cs="Arial"/>
                <w:szCs w:val="20"/>
                <w:lang w:eastAsia="en-GB"/>
              </w:rPr>
              <w:t>Non-Governmental Organizations</w:t>
            </w:r>
          </w:p>
        </w:tc>
      </w:tr>
      <w:tr w:rsidR="00D661D9" w:rsidRPr="00EA0EA9" w14:paraId="469486A0" w14:textId="77777777" w:rsidTr="00D661D9">
        <w:trPr>
          <w:trHeight w:val="368"/>
        </w:trPr>
        <w:tc>
          <w:tcPr>
            <w:tcW w:w="1244" w:type="dxa"/>
          </w:tcPr>
          <w:p w14:paraId="4C13BC27" w14:textId="77777777" w:rsidR="00D661D9" w:rsidRPr="00EA0EA9" w:rsidRDefault="00D661D9" w:rsidP="003512E4">
            <w:pPr>
              <w:rPr>
                <w:rFonts w:ascii="Cambria" w:hAnsi="Cambria"/>
              </w:rPr>
            </w:pPr>
            <w:r w:rsidRPr="00EA0EA9">
              <w:rPr>
                <w:rFonts w:ascii="Cambria" w:hAnsi="Cambria"/>
                <w:bCs/>
              </w:rPr>
              <w:t>NPOs</w:t>
            </w:r>
          </w:p>
        </w:tc>
        <w:tc>
          <w:tcPr>
            <w:tcW w:w="7066" w:type="dxa"/>
          </w:tcPr>
          <w:p w14:paraId="2C25F0D3" w14:textId="77777777" w:rsidR="00D661D9" w:rsidRPr="00EA0EA9" w:rsidRDefault="00D661D9" w:rsidP="003512E4">
            <w:pPr>
              <w:rPr>
                <w:rFonts w:ascii="Cambria" w:hAnsi="Cambria"/>
              </w:rPr>
            </w:pPr>
            <w:r w:rsidRPr="00EA0EA9">
              <w:rPr>
                <w:rFonts w:ascii="Cambria" w:hAnsi="Cambria"/>
                <w:bCs/>
              </w:rPr>
              <w:t xml:space="preserve">Non-Profit Organizations </w:t>
            </w:r>
          </w:p>
        </w:tc>
      </w:tr>
      <w:tr w:rsidR="00D661D9" w:rsidRPr="00EA0EA9" w14:paraId="4FD35A69" w14:textId="77777777" w:rsidTr="00D661D9">
        <w:trPr>
          <w:trHeight w:val="389"/>
        </w:trPr>
        <w:tc>
          <w:tcPr>
            <w:tcW w:w="1244" w:type="dxa"/>
          </w:tcPr>
          <w:p w14:paraId="4AFD75E6" w14:textId="77777777" w:rsidR="00D661D9" w:rsidRPr="00EA0EA9" w:rsidRDefault="00D661D9" w:rsidP="003512E4">
            <w:pPr>
              <w:rPr>
                <w:rFonts w:ascii="Cambria" w:hAnsi="Cambria"/>
              </w:rPr>
            </w:pPr>
            <w:r w:rsidRPr="00EA0EA9">
              <w:rPr>
                <w:rFonts w:ascii="Cambria" w:hAnsi="Cambria"/>
                <w:bCs/>
              </w:rPr>
              <w:t>PBOs</w:t>
            </w:r>
          </w:p>
        </w:tc>
        <w:tc>
          <w:tcPr>
            <w:tcW w:w="7066" w:type="dxa"/>
          </w:tcPr>
          <w:p w14:paraId="78A0E738" w14:textId="77777777" w:rsidR="00D661D9" w:rsidRPr="00EA0EA9" w:rsidRDefault="00D661D9" w:rsidP="003512E4">
            <w:pPr>
              <w:rPr>
                <w:rFonts w:ascii="Cambria" w:hAnsi="Cambria"/>
              </w:rPr>
            </w:pPr>
            <w:r w:rsidRPr="00EA0EA9">
              <w:rPr>
                <w:rFonts w:ascii="Cambria" w:hAnsi="Cambria"/>
                <w:bCs/>
              </w:rPr>
              <w:t>Public Benefit Organizations</w:t>
            </w:r>
          </w:p>
        </w:tc>
      </w:tr>
      <w:tr w:rsidR="00D661D9" w:rsidRPr="00EA0EA9" w14:paraId="7A1096E2" w14:textId="77777777" w:rsidTr="00D661D9">
        <w:trPr>
          <w:trHeight w:val="368"/>
        </w:trPr>
        <w:tc>
          <w:tcPr>
            <w:tcW w:w="1244" w:type="dxa"/>
          </w:tcPr>
          <w:p w14:paraId="7A404CC7" w14:textId="77777777" w:rsidR="00D661D9" w:rsidRPr="00EA0EA9" w:rsidRDefault="00D661D9" w:rsidP="003512E4">
            <w:pPr>
              <w:rPr>
                <w:rFonts w:ascii="Cambria" w:hAnsi="Cambria"/>
              </w:rPr>
            </w:pPr>
            <w:r w:rsidRPr="00EA0EA9">
              <w:rPr>
                <w:rFonts w:ascii="Cambria" w:hAnsi="Cambria"/>
              </w:rPr>
              <w:t>RDP</w:t>
            </w:r>
          </w:p>
        </w:tc>
        <w:tc>
          <w:tcPr>
            <w:tcW w:w="7066" w:type="dxa"/>
          </w:tcPr>
          <w:p w14:paraId="0FCE57F2" w14:textId="77777777" w:rsidR="00D661D9" w:rsidRPr="00EA0EA9" w:rsidRDefault="00D661D9" w:rsidP="003512E4">
            <w:pPr>
              <w:rPr>
                <w:rFonts w:ascii="Cambria" w:hAnsi="Cambria"/>
              </w:rPr>
            </w:pPr>
            <w:r w:rsidRPr="00EA0EA9">
              <w:rPr>
                <w:rFonts w:ascii="Cambria" w:hAnsi="Cambria"/>
                <w:bCs/>
              </w:rPr>
              <w:t>Reconstruction and Development Programme</w:t>
            </w:r>
          </w:p>
        </w:tc>
      </w:tr>
      <w:tr w:rsidR="00D661D9" w:rsidRPr="00EA0EA9" w14:paraId="4932C376" w14:textId="77777777" w:rsidTr="00D661D9">
        <w:trPr>
          <w:trHeight w:val="368"/>
        </w:trPr>
        <w:tc>
          <w:tcPr>
            <w:tcW w:w="1244" w:type="dxa"/>
          </w:tcPr>
          <w:p w14:paraId="6979503D" w14:textId="77777777" w:rsidR="00D661D9" w:rsidRPr="00EA0EA9" w:rsidRDefault="00D661D9" w:rsidP="003512E4">
            <w:pPr>
              <w:rPr>
                <w:rFonts w:ascii="Cambria" w:hAnsi="Cambria"/>
              </w:rPr>
            </w:pPr>
            <w:r w:rsidRPr="00EA0EA9">
              <w:rPr>
                <w:rFonts w:ascii="Cambria" w:hAnsi="Cambria"/>
              </w:rPr>
              <w:t>SADC</w:t>
            </w:r>
          </w:p>
        </w:tc>
        <w:tc>
          <w:tcPr>
            <w:tcW w:w="7066" w:type="dxa"/>
          </w:tcPr>
          <w:p w14:paraId="6E0822FA" w14:textId="77777777" w:rsidR="00D661D9" w:rsidRPr="00EA0EA9" w:rsidRDefault="00D661D9" w:rsidP="003512E4">
            <w:pPr>
              <w:rPr>
                <w:rFonts w:ascii="Cambria" w:hAnsi="Cambria"/>
              </w:rPr>
            </w:pPr>
            <w:r w:rsidRPr="00EA0EA9">
              <w:rPr>
                <w:rFonts w:ascii="Cambria" w:hAnsi="Cambria"/>
              </w:rPr>
              <w:t>Southern African Development Community</w:t>
            </w:r>
          </w:p>
        </w:tc>
      </w:tr>
      <w:tr w:rsidR="00D661D9" w:rsidRPr="00EA0EA9" w14:paraId="0F021FCD" w14:textId="77777777" w:rsidTr="00D661D9">
        <w:trPr>
          <w:trHeight w:val="389"/>
        </w:trPr>
        <w:tc>
          <w:tcPr>
            <w:tcW w:w="1244" w:type="dxa"/>
          </w:tcPr>
          <w:p w14:paraId="3B815C69" w14:textId="77777777" w:rsidR="00D661D9" w:rsidRPr="00EA0EA9" w:rsidRDefault="00D661D9" w:rsidP="003512E4">
            <w:pPr>
              <w:rPr>
                <w:rFonts w:ascii="Cambria" w:hAnsi="Cambria"/>
              </w:rPr>
            </w:pPr>
            <w:r w:rsidRPr="00EA0EA9">
              <w:rPr>
                <w:rFonts w:ascii="Cambria" w:hAnsi="Cambria"/>
              </w:rPr>
              <w:t>SDGs</w:t>
            </w:r>
          </w:p>
        </w:tc>
        <w:tc>
          <w:tcPr>
            <w:tcW w:w="7066" w:type="dxa"/>
          </w:tcPr>
          <w:p w14:paraId="6CC2FA1D" w14:textId="77777777" w:rsidR="00D661D9" w:rsidRPr="00EA0EA9" w:rsidRDefault="00D661D9" w:rsidP="003512E4">
            <w:pPr>
              <w:rPr>
                <w:rFonts w:ascii="Cambria" w:hAnsi="Cambria"/>
              </w:rPr>
            </w:pPr>
            <w:r w:rsidRPr="00EA0EA9">
              <w:rPr>
                <w:rFonts w:ascii="Cambria" w:hAnsi="Cambria"/>
              </w:rPr>
              <w:t>Sustainable Development Goals</w:t>
            </w:r>
          </w:p>
        </w:tc>
      </w:tr>
      <w:tr w:rsidR="00D661D9" w:rsidRPr="00EA0EA9" w14:paraId="75236593" w14:textId="77777777" w:rsidTr="00D661D9">
        <w:trPr>
          <w:trHeight w:val="368"/>
        </w:trPr>
        <w:tc>
          <w:tcPr>
            <w:tcW w:w="1244" w:type="dxa"/>
          </w:tcPr>
          <w:p w14:paraId="5F8AB949" w14:textId="77777777" w:rsidR="00D661D9" w:rsidRPr="00EA0EA9" w:rsidRDefault="00D661D9" w:rsidP="003512E4">
            <w:pPr>
              <w:rPr>
                <w:rFonts w:ascii="Cambria" w:hAnsi="Cambria"/>
              </w:rPr>
            </w:pPr>
            <w:r w:rsidRPr="00EA0EA9">
              <w:rPr>
                <w:rFonts w:ascii="Cambria" w:hAnsi="Cambria"/>
              </w:rPr>
              <w:t>SAHRC</w:t>
            </w:r>
          </w:p>
        </w:tc>
        <w:tc>
          <w:tcPr>
            <w:tcW w:w="7066" w:type="dxa"/>
          </w:tcPr>
          <w:p w14:paraId="67F3201A" w14:textId="77777777" w:rsidR="00D661D9" w:rsidRPr="00EA0EA9" w:rsidRDefault="00D661D9" w:rsidP="003512E4">
            <w:pPr>
              <w:rPr>
                <w:rFonts w:ascii="Cambria" w:hAnsi="Cambria"/>
              </w:rPr>
            </w:pPr>
            <w:r w:rsidRPr="00EA0EA9">
              <w:rPr>
                <w:rFonts w:ascii="Cambria" w:hAnsi="Cambria"/>
              </w:rPr>
              <w:t>South African Human Rights Commission</w:t>
            </w:r>
          </w:p>
        </w:tc>
      </w:tr>
      <w:tr w:rsidR="00D661D9" w:rsidRPr="00EA0EA9" w14:paraId="4C8A30CD" w14:textId="77777777" w:rsidTr="00D661D9">
        <w:trPr>
          <w:trHeight w:val="368"/>
        </w:trPr>
        <w:tc>
          <w:tcPr>
            <w:tcW w:w="1244" w:type="dxa"/>
          </w:tcPr>
          <w:p w14:paraId="69FCBA53" w14:textId="77777777" w:rsidR="00D661D9" w:rsidRPr="00EA0EA9" w:rsidRDefault="00D661D9" w:rsidP="003512E4">
            <w:pPr>
              <w:rPr>
                <w:rFonts w:ascii="Cambria" w:hAnsi="Cambria"/>
              </w:rPr>
            </w:pPr>
            <w:r w:rsidRPr="00EA0EA9">
              <w:rPr>
                <w:rFonts w:ascii="Cambria" w:hAnsi="Cambria"/>
              </w:rPr>
              <w:t>UN</w:t>
            </w:r>
          </w:p>
        </w:tc>
        <w:tc>
          <w:tcPr>
            <w:tcW w:w="7066" w:type="dxa"/>
          </w:tcPr>
          <w:p w14:paraId="1F850128" w14:textId="77777777" w:rsidR="00D661D9" w:rsidRPr="00EA0EA9" w:rsidRDefault="00D661D9" w:rsidP="003512E4">
            <w:pPr>
              <w:rPr>
                <w:rFonts w:ascii="Cambria" w:hAnsi="Cambria"/>
              </w:rPr>
            </w:pPr>
            <w:r w:rsidRPr="00EA0EA9">
              <w:rPr>
                <w:rFonts w:ascii="Cambria" w:hAnsi="Cambria"/>
              </w:rPr>
              <w:t xml:space="preserve">United Nations </w:t>
            </w:r>
          </w:p>
        </w:tc>
      </w:tr>
      <w:tr w:rsidR="00D661D9" w:rsidRPr="00EA0EA9" w14:paraId="76B06215" w14:textId="77777777" w:rsidTr="00D661D9">
        <w:trPr>
          <w:trHeight w:val="389"/>
        </w:trPr>
        <w:tc>
          <w:tcPr>
            <w:tcW w:w="1244" w:type="dxa"/>
          </w:tcPr>
          <w:p w14:paraId="6C7EF712" w14:textId="77777777" w:rsidR="00D661D9" w:rsidRPr="00EA0EA9" w:rsidRDefault="00D661D9" w:rsidP="003512E4">
            <w:pPr>
              <w:rPr>
                <w:rFonts w:ascii="Cambria" w:hAnsi="Cambria"/>
              </w:rPr>
            </w:pPr>
            <w:r w:rsidRPr="00EA0EA9">
              <w:rPr>
                <w:rFonts w:ascii="Cambria" w:hAnsi="Cambria"/>
              </w:rPr>
              <w:t>UNAIDS</w:t>
            </w:r>
          </w:p>
        </w:tc>
        <w:tc>
          <w:tcPr>
            <w:tcW w:w="7066" w:type="dxa"/>
          </w:tcPr>
          <w:p w14:paraId="5DD95C22" w14:textId="77777777" w:rsidR="00D661D9" w:rsidRPr="00EA0EA9" w:rsidRDefault="00D661D9" w:rsidP="003512E4">
            <w:pPr>
              <w:rPr>
                <w:rFonts w:ascii="Cambria" w:hAnsi="Cambria"/>
              </w:rPr>
            </w:pPr>
            <w:r w:rsidRPr="00EA0EA9">
              <w:rPr>
                <w:rFonts w:ascii="Cambria" w:hAnsi="Cambria"/>
              </w:rPr>
              <w:t>The Joint United Nations Programme on HIV/AIDS</w:t>
            </w:r>
          </w:p>
        </w:tc>
      </w:tr>
      <w:tr w:rsidR="00D661D9" w:rsidRPr="00EA0EA9" w14:paraId="0B1E64D9" w14:textId="77777777" w:rsidTr="00D661D9">
        <w:trPr>
          <w:trHeight w:val="368"/>
        </w:trPr>
        <w:tc>
          <w:tcPr>
            <w:tcW w:w="1244" w:type="dxa"/>
          </w:tcPr>
          <w:p w14:paraId="67AFC8BF" w14:textId="77777777" w:rsidR="00D661D9" w:rsidRPr="00EA0EA9" w:rsidRDefault="00D661D9" w:rsidP="003512E4">
            <w:pPr>
              <w:rPr>
                <w:rFonts w:ascii="Cambria" w:hAnsi="Cambria"/>
              </w:rPr>
            </w:pPr>
            <w:r w:rsidRPr="00EA0EA9">
              <w:rPr>
                <w:rFonts w:ascii="Cambria" w:hAnsi="Cambria"/>
              </w:rPr>
              <w:t>UNCRC</w:t>
            </w:r>
          </w:p>
        </w:tc>
        <w:tc>
          <w:tcPr>
            <w:tcW w:w="7066" w:type="dxa"/>
          </w:tcPr>
          <w:p w14:paraId="5DB530CF" w14:textId="77777777" w:rsidR="00D661D9" w:rsidRPr="00EA0EA9" w:rsidRDefault="00D661D9" w:rsidP="003512E4">
            <w:pPr>
              <w:rPr>
                <w:rFonts w:ascii="Cambria" w:hAnsi="Cambria"/>
              </w:rPr>
            </w:pPr>
            <w:r w:rsidRPr="00EA0EA9">
              <w:rPr>
                <w:rFonts w:ascii="Cambria" w:hAnsi="Cambria"/>
              </w:rPr>
              <w:t>United Nations Convention on the Rights of the Child</w:t>
            </w:r>
          </w:p>
        </w:tc>
      </w:tr>
      <w:tr w:rsidR="00D661D9" w:rsidRPr="00EA0EA9" w14:paraId="1881C1CE" w14:textId="77777777" w:rsidTr="00D661D9">
        <w:trPr>
          <w:trHeight w:val="368"/>
        </w:trPr>
        <w:tc>
          <w:tcPr>
            <w:tcW w:w="1244" w:type="dxa"/>
          </w:tcPr>
          <w:p w14:paraId="280F7EAC" w14:textId="77777777" w:rsidR="00D661D9" w:rsidRPr="00EA0EA9" w:rsidRDefault="00D661D9" w:rsidP="003512E4">
            <w:pPr>
              <w:rPr>
                <w:rFonts w:ascii="Cambria" w:hAnsi="Cambria"/>
              </w:rPr>
            </w:pPr>
            <w:r w:rsidRPr="00EA0EA9">
              <w:rPr>
                <w:rFonts w:ascii="Cambria" w:hAnsi="Cambria"/>
              </w:rPr>
              <w:t>UNICEF</w:t>
            </w:r>
          </w:p>
        </w:tc>
        <w:tc>
          <w:tcPr>
            <w:tcW w:w="7066" w:type="dxa"/>
          </w:tcPr>
          <w:p w14:paraId="757B5BE8" w14:textId="77777777" w:rsidR="00D661D9" w:rsidRPr="00EA0EA9" w:rsidRDefault="00D661D9" w:rsidP="003512E4">
            <w:pPr>
              <w:rPr>
                <w:rFonts w:ascii="Cambria" w:hAnsi="Cambria"/>
              </w:rPr>
            </w:pPr>
            <w:r w:rsidRPr="00EA0EA9">
              <w:rPr>
                <w:rFonts w:ascii="Cambria" w:hAnsi="Cambria"/>
              </w:rPr>
              <w:t xml:space="preserve">United Nations International Children’s Fund </w:t>
            </w:r>
          </w:p>
        </w:tc>
      </w:tr>
    </w:tbl>
    <w:p w14:paraId="44F4AC51" w14:textId="77777777" w:rsidR="004A7BE6" w:rsidRPr="00EA0EA9" w:rsidRDefault="004A7BE6" w:rsidP="00216FAF">
      <w:pPr>
        <w:jc w:val="both"/>
        <w:rPr>
          <w:rFonts w:asciiTheme="majorHAnsi" w:hAnsiTheme="majorHAnsi"/>
          <w:b/>
          <w:color w:val="595959" w:themeColor="text1" w:themeTint="A6"/>
          <w:sz w:val="40"/>
        </w:rPr>
      </w:pPr>
    </w:p>
    <w:p w14:paraId="798366E7" w14:textId="77777777" w:rsidR="00BD2D23" w:rsidRPr="00EA0EA9" w:rsidRDefault="00BD2D23" w:rsidP="00216FAF">
      <w:pPr>
        <w:jc w:val="both"/>
        <w:rPr>
          <w:rFonts w:asciiTheme="majorHAnsi" w:hAnsiTheme="majorHAnsi"/>
        </w:rPr>
      </w:pPr>
    </w:p>
    <w:p w14:paraId="410FB70F" w14:textId="77777777" w:rsidR="0053255E" w:rsidRPr="00EA0EA9" w:rsidRDefault="0053255E" w:rsidP="00216FAF">
      <w:pPr>
        <w:jc w:val="both"/>
        <w:rPr>
          <w:rFonts w:asciiTheme="majorHAnsi" w:hAnsiTheme="majorHAnsi"/>
        </w:rPr>
      </w:pPr>
    </w:p>
    <w:p w14:paraId="12EEA021" w14:textId="77777777" w:rsidR="0053255E" w:rsidRPr="00EA0EA9" w:rsidRDefault="0053255E" w:rsidP="00216FAF">
      <w:pPr>
        <w:jc w:val="both"/>
        <w:rPr>
          <w:rFonts w:asciiTheme="majorHAnsi" w:hAnsiTheme="majorHAnsi"/>
        </w:rPr>
      </w:pPr>
    </w:p>
    <w:p w14:paraId="6781D81E" w14:textId="77777777" w:rsidR="0053255E" w:rsidRPr="00EA0EA9" w:rsidRDefault="0053255E" w:rsidP="00216FAF">
      <w:pPr>
        <w:jc w:val="both"/>
        <w:rPr>
          <w:rFonts w:asciiTheme="majorHAnsi" w:hAnsiTheme="majorHAnsi"/>
        </w:rPr>
      </w:pPr>
    </w:p>
    <w:p w14:paraId="7B4CF7B2" w14:textId="77777777" w:rsidR="0053255E" w:rsidRPr="00EA0EA9" w:rsidRDefault="0053255E" w:rsidP="00216FAF">
      <w:pPr>
        <w:jc w:val="both"/>
        <w:rPr>
          <w:rFonts w:asciiTheme="majorHAnsi" w:hAnsiTheme="majorHAnsi"/>
        </w:rPr>
      </w:pPr>
    </w:p>
    <w:p w14:paraId="52C77115" w14:textId="77777777" w:rsidR="0053255E" w:rsidRPr="00EA0EA9" w:rsidRDefault="0053255E" w:rsidP="00216FAF">
      <w:pPr>
        <w:jc w:val="both"/>
        <w:rPr>
          <w:rFonts w:asciiTheme="majorHAnsi" w:hAnsiTheme="majorHAnsi"/>
        </w:rPr>
      </w:pPr>
    </w:p>
    <w:p w14:paraId="484A1190" w14:textId="77777777" w:rsidR="0053255E" w:rsidRPr="00EA0EA9" w:rsidRDefault="0053255E" w:rsidP="00216FAF">
      <w:pPr>
        <w:jc w:val="both"/>
        <w:rPr>
          <w:rFonts w:asciiTheme="majorHAnsi" w:hAnsiTheme="majorHAnsi"/>
        </w:rPr>
      </w:pPr>
    </w:p>
    <w:p w14:paraId="5C90A078" w14:textId="77777777" w:rsidR="0053255E" w:rsidRPr="00EA0EA9" w:rsidRDefault="0053255E" w:rsidP="00216FAF">
      <w:pPr>
        <w:jc w:val="both"/>
        <w:rPr>
          <w:rFonts w:asciiTheme="majorHAnsi" w:hAnsiTheme="majorHAnsi"/>
        </w:rPr>
      </w:pPr>
    </w:p>
    <w:p w14:paraId="33690FA9" w14:textId="77777777" w:rsidR="0053255E" w:rsidRPr="00EA0EA9" w:rsidRDefault="0053255E" w:rsidP="00216FAF">
      <w:pPr>
        <w:jc w:val="both"/>
        <w:rPr>
          <w:rFonts w:asciiTheme="majorHAnsi" w:hAnsiTheme="majorHAnsi"/>
        </w:rPr>
      </w:pPr>
    </w:p>
    <w:p w14:paraId="608A87BB" w14:textId="77777777" w:rsidR="0053255E" w:rsidRPr="00EA0EA9" w:rsidRDefault="0053255E" w:rsidP="00216FAF">
      <w:pPr>
        <w:jc w:val="both"/>
        <w:rPr>
          <w:rFonts w:asciiTheme="majorHAnsi" w:hAnsiTheme="majorHAnsi"/>
        </w:rPr>
      </w:pPr>
    </w:p>
    <w:p w14:paraId="3D85F9C2" w14:textId="77777777" w:rsidR="0053255E" w:rsidRPr="00EA0EA9" w:rsidRDefault="0053255E" w:rsidP="00216FAF">
      <w:pPr>
        <w:jc w:val="both"/>
        <w:rPr>
          <w:rFonts w:asciiTheme="majorHAnsi" w:hAnsiTheme="majorHAnsi"/>
        </w:rPr>
      </w:pPr>
    </w:p>
    <w:p w14:paraId="57CB65BC" w14:textId="77777777" w:rsidR="0053255E" w:rsidRPr="00EA0EA9" w:rsidRDefault="0053255E" w:rsidP="00216FAF">
      <w:pPr>
        <w:jc w:val="both"/>
        <w:rPr>
          <w:rFonts w:asciiTheme="majorHAnsi" w:hAnsiTheme="majorHAnsi"/>
        </w:rPr>
      </w:pPr>
    </w:p>
    <w:p w14:paraId="310ACA78" w14:textId="77777777" w:rsidR="0053255E" w:rsidRPr="00EA0EA9" w:rsidRDefault="0053255E" w:rsidP="00216FAF">
      <w:pPr>
        <w:jc w:val="both"/>
        <w:rPr>
          <w:rFonts w:asciiTheme="majorHAnsi" w:hAnsiTheme="majorHAnsi"/>
        </w:rPr>
      </w:pPr>
    </w:p>
    <w:p w14:paraId="06062A06" w14:textId="77777777" w:rsidR="0053255E" w:rsidRPr="00EA0EA9" w:rsidRDefault="0053255E" w:rsidP="00216FAF">
      <w:pPr>
        <w:jc w:val="both"/>
        <w:rPr>
          <w:rFonts w:asciiTheme="majorHAnsi" w:hAnsiTheme="majorHAnsi"/>
        </w:rPr>
      </w:pPr>
    </w:p>
    <w:p w14:paraId="3586E625" w14:textId="77777777" w:rsidR="0053255E" w:rsidRPr="00EA0EA9" w:rsidRDefault="0053255E" w:rsidP="00216FAF">
      <w:pPr>
        <w:jc w:val="both"/>
        <w:rPr>
          <w:rFonts w:asciiTheme="majorHAnsi" w:hAnsiTheme="majorHAnsi"/>
        </w:rPr>
      </w:pPr>
    </w:p>
    <w:p w14:paraId="1337FB9A" w14:textId="77777777" w:rsidR="0053255E" w:rsidRPr="00EA0EA9" w:rsidRDefault="0053255E" w:rsidP="00216FAF">
      <w:pPr>
        <w:pStyle w:val="Heading1"/>
        <w:jc w:val="both"/>
        <w:rPr>
          <w:rFonts w:eastAsia="Times New Roman"/>
          <w:color w:val="CC0000"/>
          <w:sz w:val="32"/>
          <w:lang w:eastAsia="en-GB"/>
        </w:rPr>
      </w:pPr>
      <w:bookmarkStart w:id="1" w:name="_Toc476983568"/>
      <w:r w:rsidRPr="00EA0EA9">
        <w:rPr>
          <w:rFonts w:eastAsia="Times New Roman"/>
          <w:color w:val="CC0000"/>
          <w:sz w:val="32"/>
          <w:lang w:eastAsia="en-GB"/>
        </w:rPr>
        <w:lastRenderedPageBreak/>
        <w:t>EXECUTIVE SUMMARY</w:t>
      </w:r>
      <w:bookmarkEnd w:id="1"/>
      <w:r w:rsidRPr="00EA0EA9">
        <w:rPr>
          <w:rFonts w:eastAsia="Times New Roman"/>
          <w:color w:val="CC0000"/>
          <w:sz w:val="32"/>
          <w:lang w:eastAsia="en-GB"/>
        </w:rPr>
        <w:t> </w:t>
      </w:r>
    </w:p>
    <w:p w14:paraId="65BBF479" w14:textId="63D31E64" w:rsidR="00216FAF" w:rsidRPr="00EA0EA9" w:rsidRDefault="00216FAF" w:rsidP="00787297">
      <w:pPr>
        <w:spacing w:line="276" w:lineRule="auto"/>
        <w:jc w:val="both"/>
        <w:rPr>
          <w:rFonts w:asciiTheme="majorHAnsi" w:hAnsiTheme="majorHAnsi"/>
          <w:lang w:eastAsia="en-GB"/>
        </w:rPr>
      </w:pPr>
      <w:r w:rsidRPr="00EA0EA9">
        <w:rPr>
          <w:rFonts w:asciiTheme="majorHAnsi" w:hAnsiTheme="majorHAnsi"/>
          <w:lang w:eastAsia="en-GB"/>
        </w:rPr>
        <w:t xml:space="preserve">Since the apartheid days, civil society </w:t>
      </w:r>
      <w:r w:rsidR="009B2827" w:rsidRPr="00EA0EA9">
        <w:rPr>
          <w:rFonts w:asciiTheme="majorHAnsi" w:hAnsiTheme="majorHAnsi"/>
          <w:lang w:eastAsia="en-GB"/>
        </w:rPr>
        <w:t>organizations (</w:t>
      </w:r>
      <w:r w:rsidRPr="00EA0EA9">
        <w:rPr>
          <w:rFonts w:asciiTheme="majorHAnsi" w:hAnsiTheme="majorHAnsi"/>
          <w:lang w:eastAsia="en-GB"/>
        </w:rPr>
        <w:t>CSOs) in South Africa have long played an important role in waging the anti-apartheid campaigns, fostering social cohesion, building social capital</w:t>
      </w:r>
      <w:r w:rsidR="001A3CF2" w:rsidRPr="00EA0EA9">
        <w:rPr>
          <w:rFonts w:asciiTheme="majorHAnsi" w:hAnsiTheme="majorHAnsi"/>
          <w:lang w:eastAsia="en-GB"/>
        </w:rPr>
        <w:t xml:space="preserve">, provision of social services, </w:t>
      </w:r>
      <w:r w:rsidRPr="00EA0EA9">
        <w:rPr>
          <w:rFonts w:asciiTheme="majorHAnsi" w:hAnsiTheme="majorHAnsi"/>
          <w:lang w:eastAsia="en-GB"/>
        </w:rPr>
        <w:t xml:space="preserve">advancing socio-economic as well </w:t>
      </w:r>
      <w:r w:rsidR="007566FD" w:rsidRPr="00EA0EA9">
        <w:rPr>
          <w:rFonts w:asciiTheme="majorHAnsi" w:hAnsiTheme="majorHAnsi"/>
          <w:lang w:eastAsia="en-GB"/>
        </w:rPr>
        <w:t xml:space="preserve">as civil and political rights. </w:t>
      </w:r>
      <w:r w:rsidRPr="00EA0EA9">
        <w:rPr>
          <w:rFonts w:asciiTheme="majorHAnsi" w:hAnsiTheme="majorHAnsi"/>
          <w:lang w:eastAsia="en-GB"/>
        </w:rPr>
        <w:t>South African CSOs were very influential in the trajectory of democratization towards the end of apartheid and in the first decade after 1994. Though more progressive than most of its neighbours, the South African government has tended to look at civil society either with suspicion or as a nuisan</w:t>
      </w:r>
      <w:r w:rsidR="00F46A1E">
        <w:rPr>
          <w:rFonts w:asciiTheme="majorHAnsi" w:hAnsiTheme="majorHAnsi"/>
          <w:lang w:eastAsia="en-GB"/>
        </w:rPr>
        <w:t>ce factor. For the most part, NG</w:t>
      </w:r>
      <w:r w:rsidRPr="00EA0EA9">
        <w:rPr>
          <w:rFonts w:asciiTheme="majorHAnsi" w:hAnsiTheme="majorHAnsi"/>
          <w:lang w:eastAsia="en-GB"/>
        </w:rPr>
        <w:t xml:space="preserve">Os in South Africa are supported by foreign donors and are thus seen as non-progressive in some leftist spaces. </w:t>
      </w:r>
      <w:r w:rsidR="00E64800" w:rsidRPr="00EA0EA9">
        <w:rPr>
          <w:rFonts w:asciiTheme="majorHAnsi" w:hAnsiTheme="majorHAnsi"/>
          <w:lang w:eastAsia="en-GB"/>
        </w:rPr>
        <w:t>Their most felt influence has been in the rights of marginalised workers; access to water and sanitation; women’s rights; youth and child rights; advo</w:t>
      </w:r>
      <w:bookmarkStart w:id="2" w:name="_GoBack"/>
      <w:bookmarkEnd w:id="2"/>
      <w:r w:rsidR="00E64800" w:rsidRPr="00EA0EA9">
        <w:rPr>
          <w:rFonts w:asciiTheme="majorHAnsi" w:hAnsiTheme="majorHAnsi"/>
          <w:lang w:eastAsia="en-GB"/>
        </w:rPr>
        <w:t>cacy for universal care, treatment and support.</w:t>
      </w:r>
      <w:r w:rsidR="00F46A1E">
        <w:rPr>
          <w:rFonts w:asciiTheme="majorHAnsi" w:hAnsiTheme="majorHAnsi"/>
          <w:lang w:eastAsia="en-GB"/>
        </w:rPr>
        <w:t xml:space="preserve"> However, beyond the NGO </w:t>
      </w:r>
      <w:proofErr w:type="gramStart"/>
      <w:r w:rsidR="00F46A1E">
        <w:rPr>
          <w:rFonts w:asciiTheme="majorHAnsi" w:hAnsiTheme="majorHAnsi"/>
          <w:lang w:eastAsia="en-GB"/>
        </w:rPr>
        <w:t>sector ,</w:t>
      </w:r>
      <w:proofErr w:type="gramEnd"/>
      <w:r w:rsidR="00F46A1E">
        <w:rPr>
          <w:rFonts w:asciiTheme="majorHAnsi" w:hAnsiTheme="majorHAnsi"/>
          <w:lang w:eastAsia="en-GB"/>
        </w:rPr>
        <w:t xml:space="preserve"> South Africa also has a robust organised labour sector as well as social movements drawn from various thematic strands. South Africa has often been dubbed the protest capital of the world.</w:t>
      </w:r>
    </w:p>
    <w:p w14:paraId="769EA244" w14:textId="77777777" w:rsidR="009F0EAE" w:rsidRPr="00EA0EA9" w:rsidRDefault="009F0EAE" w:rsidP="00787297">
      <w:pPr>
        <w:spacing w:line="276" w:lineRule="auto"/>
        <w:jc w:val="both"/>
        <w:rPr>
          <w:rFonts w:asciiTheme="majorHAnsi" w:hAnsiTheme="majorHAnsi"/>
          <w:lang w:eastAsia="en-GB"/>
        </w:rPr>
      </w:pPr>
    </w:p>
    <w:p w14:paraId="3EC40284" w14:textId="3B06D794" w:rsidR="00216FAF" w:rsidRPr="00EA0EA9" w:rsidRDefault="00216FAF" w:rsidP="00787297">
      <w:pPr>
        <w:spacing w:line="276" w:lineRule="auto"/>
        <w:jc w:val="both"/>
        <w:rPr>
          <w:rFonts w:asciiTheme="majorHAnsi" w:hAnsiTheme="majorHAnsi"/>
          <w:lang w:eastAsia="en-GB"/>
        </w:rPr>
      </w:pPr>
      <w:r w:rsidRPr="00EA0EA9">
        <w:rPr>
          <w:rFonts w:asciiTheme="majorHAnsi" w:hAnsiTheme="majorHAnsi"/>
          <w:lang w:eastAsia="en-GB"/>
        </w:rPr>
        <w:t xml:space="preserve">The end of apartheid and the adoption of the South African constitution in </w:t>
      </w:r>
      <w:r w:rsidR="00E93651" w:rsidRPr="00EA0EA9">
        <w:rPr>
          <w:rFonts w:asciiTheme="majorHAnsi" w:hAnsiTheme="majorHAnsi"/>
          <w:lang w:eastAsia="en-GB"/>
        </w:rPr>
        <w:t>1996</w:t>
      </w:r>
      <w:r w:rsidRPr="00EA0EA9">
        <w:rPr>
          <w:rFonts w:asciiTheme="majorHAnsi" w:hAnsiTheme="majorHAnsi"/>
          <w:lang w:eastAsia="en-GB"/>
        </w:rPr>
        <w:t xml:space="preserve"> ushered in an era of guarantees and fundamental freedoms.  Within the context of the rule of law, these constitutional guarantees and rights set limits to government’s actions, protected minorities and dissenters and allowed political debates to take place without censorship or bureaucratic over-reach through unbridled discretion. South Africa has ratified most international human rights treaties protecting and promoting fundamental human rights, thus reinforcing the domestic commitment to constitutionalism and rule of law. As such</w:t>
      </w:r>
      <w:r w:rsidR="00B57009" w:rsidRPr="00EA0EA9">
        <w:rPr>
          <w:rFonts w:asciiTheme="majorHAnsi" w:hAnsiTheme="majorHAnsi"/>
          <w:lang w:eastAsia="en-GB"/>
        </w:rPr>
        <w:t>,</w:t>
      </w:r>
      <w:r w:rsidRPr="00EA0EA9">
        <w:rPr>
          <w:rFonts w:asciiTheme="majorHAnsi" w:hAnsiTheme="majorHAnsi"/>
          <w:lang w:eastAsia="en-GB"/>
        </w:rPr>
        <w:t xml:space="preserve"> CSOs in South Africa </w:t>
      </w:r>
      <w:r w:rsidR="00731B07" w:rsidRPr="00EA0EA9">
        <w:rPr>
          <w:rFonts w:asciiTheme="majorHAnsi" w:hAnsiTheme="majorHAnsi"/>
          <w:lang w:eastAsia="en-GB"/>
        </w:rPr>
        <w:t>can</w:t>
      </w:r>
      <w:r w:rsidRPr="00EA0EA9">
        <w:rPr>
          <w:rFonts w:asciiTheme="majorHAnsi" w:hAnsiTheme="majorHAnsi"/>
          <w:lang w:eastAsia="en-GB"/>
        </w:rPr>
        <w:t xml:space="preserve"> work without undue interference by the government and they are free to criticize government actions and policies without fearing repressive measures from State bodies. Despite this commendable progress in establishing the normative frameworks and supporting institutions and procedures that ensure overall State accountability, there are several aspects that still need to be strengthened. </w:t>
      </w:r>
      <w:r w:rsidR="00F46A1E">
        <w:rPr>
          <w:rFonts w:asciiTheme="majorHAnsi" w:hAnsiTheme="majorHAnsi"/>
          <w:lang w:eastAsia="en-GB"/>
        </w:rPr>
        <w:t>Key amongst these are rights of specific demographic groups such as immigrants, children and the rural and urban poor.</w:t>
      </w:r>
    </w:p>
    <w:p w14:paraId="00A14684" w14:textId="77777777" w:rsidR="00B57009" w:rsidRPr="00EA0EA9" w:rsidRDefault="00B57009" w:rsidP="00787297">
      <w:pPr>
        <w:spacing w:line="276" w:lineRule="auto"/>
        <w:jc w:val="both"/>
        <w:rPr>
          <w:rFonts w:asciiTheme="majorHAnsi" w:hAnsiTheme="majorHAnsi"/>
          <w:lang w:eastAsia="en-GB"/>
        </w:rPr>
      </w:pPr>
    </w:p>
    <w:p w14:paraId="461AF125" w14:textId="702C4C59" w:rsidR="008F56DB" w:rsidRPr="00EA0EA9" w:rsidRDefault="00216FAF" w:rsidP="00C735D3">
      <w:pPr>
        <w:spacing w:line="276" w:lineRule="auto"/>
        <w:jc w:val="both"/>
        <w:rPr>
          <w:rFonts w:asciiTheme="majorHAnsi" w:hAnsiTheme="majorHAnsi"/>
          <w:lang w:eastAsia="en-GB"/>
        </w:rPr>
      </w:pPr>
      <w:r w:rsidRPr="00EA0EA9">
        <w:rPr>
          <w:rFonts w:asciiTheme="majorHAnsi" w:hAnsiTheme="majorHAnsi"/>
          <w:lang w:eastAsia="en-GB"/>
        </w:rPr>
        <w:t>This report discusses the regulatory framework governing CSOs in South Africa and their relationship with the government. It assesses national laws, policies and regulations against international and regional benchmarks</w:t>
      </w:r>
      <w:r w:rsidR="00F46A1E">
        <w:rPr>
          <w:rFonts w:asciiTheme="majorHAnsi" w:hAnsiTheme="majorHAnsi"/>
          <w:lang w:eastAsia="en-GB"/>
        </w:rPr>
        <w:t xml:space="preserve"> such as</w:t>
      </w:r>
      <w:r w:rsidRPr="00EA0EA9">
        <w:rPr>
          <w:rFonts w:asciiTheme="majorHAnsi" w:hAnsiTheme="majorHAnsi"/>
          <w:lang w:eastAsia="en-GB"/>
        </w:rPr>
        <w:t xml:space="preserve"> the Busan Partnership Agreement and Principles, the relevant regional human rights instruments</w:t>
      </w:r>
      <w:r w:rsidR="00E95EF1" w:rsidRPr="00EA0EA9">
        <w:rPr>
          <w:rFonts w:asciiTheme="majorHAnsi" w:hAnsiTheme="majorHAnsi"/>
          <w:lang w:eastAsia="en-GB"/>
        </w:rPr>
        <w:t>,</w:t>
      </w:r>
      <w:r w:rsidRPr="00EA0EA9">
        <w:rPr>
          <w:rFonts w:asciiTheme="majorHAnsi" w:hAnsiTheme="majorHAnsi"/>
          <w:lang w:eastAsia="en-GB"/>
        </w:rPr>
        <w:t xml:space="preserve"> and South Af</w:t>
      </w:r>
      <w:r w:rsidR="00F46A1E">
        <w:rPr>
          <w:rFonts w:asciiTheme="majorHAnsi" w:hAnsiTheme="majorHAnsi"/>
          <w:lang w:eastAsia="en-GB"/>
        </w:rPr>
        <w:t>rican case law where applicable</w:t>
      </w:r>
      <w:r w:rsidRPr="00EA0EA9">
        <w:rPr>
          <w:rFonts w:asciiTheme="majorHAnsi" w:hAnsiTheme="majorHAnsi"/>
          <w:lang w:eastAsia="en-GB"/>
        </w:rPr>
        <w:t>. The analysis in this report focuses on the main te</w:t>
      </w:r>
      <w:r w:rsidR="00F46A1E">
        <w:rPr>
          <w:rFonts w:asciiTheme="majorHAnsi" w:hAnsiTheme="majorHAnsi"/>
          <w:lang w:eastAsia="en-GB"/>
        </w:rPr>
        <w:t>nets of the Busan Principles as they relate to</w:t>
      </w:r>
      <w:r w:rsidRPr="00EA0EA9">
        <w:rPr>
          <w:rFonts w:asciiTheme="majorHAnsi" w:hAnsiTheme="majorHAnsi"/>
          <w:lang w:eastAsia="en-GB"/>
        </w:rPr>
        <w:t xml:space="preserve"> </w:t>
      </w:r>
      <w:r w:rsidR="00EC3E1A" w:rsidRPr="00EA0EA9">
        <w:rPr>
          <w:rFonts w:asciiTheme="majorHAnsi" w:hAnsiTheme="majorHAnsi"/>
          <w:lang w:eastAsia="en-GB"/>
        </w:rPr>
        <w:t>the</w:t>
      </w:r>
      <w:r w:rsidRPr="00EA0EA9">
        <w:rPr>
          <w:rFonts w:asciiTheme="majorHAnsi" w:hAnsiTheme="majorHAnsi"/>
          <w:lang w:eastAsia="en-GB"/>
        </w:rPr>
        <w:t xml:space="preserve"> Rig</w:t>
      </w:r>
      <w:r w:rsidR="00F46A1E">
        <w:rPr>
          <w:rFonts w:asciiTheme="majorHAnsi" w:hAnsiTheme="majorHAnsi"/>
          <w:lang w:eastAsia="en-GB"/>
        </w:rPr>
        <w:t>hts of the Child. By extension</w:t>
      </w:r>
      <w:r w:rsidRPr="00EA0EA9">
        <w:rPr>
          <w:rFonts w:asciiTheme="majorHAnsi" w:hAnsiTheme="majorHAnsi"/>
          <w:lang w:eastAsia="en-GB"/>
        </w:rPr>
        <w:t>, the analysis also focuses on the main tenets of four</w:t>
      </w:r>
      <w:r w:rsidR="00927732" w:rsidRPr="00EA0EA9">
        <w:rPr>
          <w:rFonts w:asciiTheme="majorHAnsi" w:hAnsiTheme="majorHAnsi"/>
          <w:lang w:eastAsia="en-GB"/>
        </w:rPr>
        <w:t xml:space="preserve"> </w:t>
      </w:r>
      <w:r w:rsidRPr="00EA0EA9">
        <w:rPr>
          <w:rFonts w:asciiTheme="majorHAnsi" w:hAnsiTheme="majorHAnsi"/>
          <w:lang w:eastAsia="en-GB"/>
        </w:rPr>
        <w:t xml:space="preserve">(4) </w:t>
      </w:r>
      <w:r w:rsidR="00F46A1E">
        <w:rPr>
          <w:rFonts w:asciiTheme="majorHAnsi" w:hAnsiTheme="majorHAnsi"/>
          <w:lang w:eastAsia="en-GB"/>
        </w:rPr>
        <w:t xml:space="preserve">other </w:t>
      </w:r>
      <w:r w:rsidRPr="00EA0EA9">
        <w:rPr>
          <w:rFonts w:asciiTheme="majorHAnsi" w:hAnsiTheme="majorHAnsi"/>
          <w:lang w:eastAsia="en-GB"/>
        </w:rPr>
        <w:t>fundamental rights, namely: the right to freedom of association; freedom of expression; right to information and the right to freedom of peaceful assembly.</w:t>
      </w:r>
      <w:r w:rsidR="006271E1" w:rsidRPr="00EA0EA9">
        <w:rPr>
          <w:rFonts w:asciiTheme="majorHAnsi" w:hAnsiTheme="majorHAnsi"/>
          <w:lang w:eastAsia="en-GB"/>
        </w:rPr>
        <w:t xml:space="preserve"> The report will zero in more on the Child Rights context and some of the complexities related thereto.</w:t>
      </w:r>
    </w:p>
    <w:p w14:paraId="12A20551" w14:textId="77777777" w:rsidR="002F0F46" w:rsidRPr="00EA0EA9" w:rsidRDefault="002F0F46" w:rsidP="00C735D3">
      <w:pPr>
        <w:spacing w:line="276" w:lineRule="auto"/>
        <w:jc w:val="both"/>
        <w:rPr>
          <w:rFonts w:asciiTheme="majorHAnsi" w:hAnsiTheme="majorHAnsi"/>
          <w:lang w:eastAsia="en-GB"/>
        </w:rPr>
      </w:pPr>
    </w:p>
    <w:p w14:paraId="03B8E337" w14:textId="77777777" w:rsidR="00143E62" w:rsidRDefault="00143E62" w:rsidP="008F56DB">
      <w:pPr>
        <w:spacing w:line="276" w:lineRule="auto"/>
        <w:jc w:val="both"/>
        <w:rPr>
          <w:rFonts w:asciiTheme="majorHAnsi" w:hAnsiTheme="majorHAnsi"/>
          <w:bCs/>
          <w:lang w:eastAsia="en-GB"/>
        </w:rPr>
      </w:pPr>
    </w:p>
    <w:p w14:paraId="66F164EF" w14:textId="77777777" w:rsidR="00143E62" w:rsidRDefault="00143E62" w:rsidP="008F56DB">
      <w:pPr>
        <w:spacing w:line="276" w:lineRule="auto"/>
        <w:jc w:val="both"/>
        <w:rPr>
          <w:rFonts w:asciiTheme="majorHAnsi" w:hAnsiTheme="majorHAnsi"/>
          <w:bCs/>
          <w:lang w:eastAsia="en-GB"/>
        </w:rPr>
      </w:pPr>
    </w:p>
    <w:p w14:paraId="212C3E14" w14:textId="77777777" w:rsidR="00143E62" w:rsidRPr="00143E62" w:rsidRDefault="00143E62" w:rsidP="00143E62">
      <w:pPr>
        <w:spacing w:line="276" w:lineRule="auto"/>
        <w:jc w:val="both"/>
        <w:rPr>
          <w:rFonts w:asciiTheme="majorHAnsi" w:hAnsiTheme="majorHAnsi"/>
          <w:bCs/>
          <w:lang w:val="en-ZA" w:eastAsia="en-GB"/>
        </w:rPr>
      </w:pPr>
      <w:r w:rsidRPr="00143E62">
        <w:rPr>
          <w:rFonts w:asciiTheme="majorHAnsi" w:hAnsiTheme="majorHAnsi"/>
          <w:bCs/>
          <w:lang w:val="en-ZA" w:eastAsia="en-GB"/>
        </w:rPr>
        <w:t xml:space="preserve">In </w:t>
      </w:r>
      <w:r w:rsidRPr="00143E62">
        <w:rPr>
          <w:rFonts w:asciiTheme="majorHAnsi" w:hAnsiTheme="majorHAnsi"/>
          <w:bCs/>
          <w:i/>
          <w:iCs/>
          <w:lang w:val="en-ZA" w:eastAsia="en-GB"/>
        </w:rPr>
        <w:t xml:space="preserve">Nono Cynthia Manana and Others v The Presiding Officer of the Children’s Court: District of Krugersdorp and Others </w:t>
      </w:r>
      <w:r w:rsidRPr="00143E62">
        <w:rPr>
          <w:rFonts w:asciiTheme="majorHAnsi" w:hAnsiTheme="majorHAnsi"/>
          <w:bCs/>
          <w:lang w:val="en-ZA" w:eastAsia="en-GB"/>
        </w:rPr>
        <w:t xml:space="preserve">(hereafter: </w:t>
      </w:r>
      <w:r w:rsidRPr="00143E62">
        <w:rPr>
          <w:rFonts w:asciiTheme="majorHAnsi" w:hAnsiTheme="majorHAnsi"/>
          <w:bCs/>
          <w:i/>
          <w:iCs/>
          <w:lang w:val="en-ZA" w:eastAsia="en-GB"/>
        </w:rPr>
        <w:t>Manana</w:t>
      </w:r>
      <w:r w:rsidRPr="00143E62">
        <w:rPr>
          <w:rFonts w:asciiTheme="majorHAnsi" w:hAnsiTheme="majorHAnsi"/>
          <w:bCs/>
          <w:lang w:val="en-ZA" w:eastAsia="en-GB"/>
        </w:rPr>
        <w:t xml:space="preserve">) the High Court was examining two main questions: </w:t>
      </w:r>
    </w:p>
    <w:p w14:paraId="39564CAC" w14:textId="77777777" w:rsidR="00143E62" w:rsidRPr="00143E62" w:rsidRDefault="00143E62" w:rsidP="00143E62">
      <w:pPr>
        <w:numPr>
          <w:ilvl w:val="0"/>
          <w:numId w:val="76"/>
        </w:numPr>
        <w:spacing w:line="276" w:lineRule="auto"/>
        <w:jc w:val="both"/>
        <w:rPr>
          <w:rFonts w:asciiTheme="majorHAnsi" w:hAnsiTheme="majorHAnsi"/>
          <w:bCs/>
          <w:lang w:val="en-ZA" w:eastAsia="en-GB"/>
        </w:rPr>
      </w:pPr>
      <w:r w:rsidRPr="00143E62">
        <w:rPr>
          <w:rFonts w:asciiTheme="majorHAnsi" w:hAnsiTheme="majorHAnsi"/>
          <w:bCs/>
          <w:lang w:val="en-ZA" w:eastAsia="en-GB"/>
        </w:rPr>
        <w:t xml:space="preserve">Can a caregiver who owes a legal duty of care be appointed as a foster care parent? </w:t>
      </w:r>
    </w:p>
    <w:p w14:paraId="3EC8404C" w14:textId="77777777" w:rsidR="00143E62" w:rsidRPr="00143E62" w:rsidRDefault="00143E62" w:rsidP="00143E62">
      <w:pPr>
        <w:numPr>
          <w:ilvl w:val="0"/>
          <w:numId w:val="76"/>
        </w:numPr>
        <w:spacing w:line="276" w:lineRule="auto"/>
        <w:jc w:val="both"/>
        <w:rPr>
          <w:rFonts w:asciiTheme="majorHAnsi" w:hAnsiTheme="majorHAnsi"/>
          <w:bCs/>
          <w:lang w:val="en-ZA" w:eastAsia="en-GB"/>
        </w:rPr>
      </w:pPr>
      <w:r w:rsidRPr="00143E62">
        <w:rPr>
          <w:rFonts w:asciiTheme="majorHAnsi" w:hAnsiTheme="majorHAnsi"/>
          <w:bCs/>
          <w:lang w:val="en-ZA" w:eastAsia="en-GB"/>
        </w:rPr>
        <w:t xml:space="preserve">Can a foster care grant be granted to the caregiver in this particular case? </w:t>
      </w:r>
    </w:p>
    <w:p w14:paraId="6B161D3F" w14:textId="6BBF931B" w:rsidR="00143E62" w:rsidRPr="00143E62" w:rsidRDefault="00143E62" w:rsidP="00143E62">
      <w:pPr>
        <w:spacing w:line="276" w:lineRule="auto"/>
        <w:jc w:val="both"/>
        <w:rPr>
          <w:rFonts w:asciiTheme="majorHAnsi" w:hAnsiTheme="majorHAnsi"/>
          <w:bCs/>
          <w:lang w:val="en-ZA" w:eastAsia="en-GB"/>
        </w:rPr>
      </w:pPr>
      <w:r w:rsidRPr="00143E62">
        <w:rPr>
          <w:rFonts w:asciiTheme="majorHAnsi" w:hAnsiTheme="majorHAnsi"/>
          <w:bCs/>
          <w:lang w:val="en-ZA" w:eastAsia="en-GB"/>
        </w:rPr>
        <w:t xml:space="preserve">More specifically, the court had to decide whether three orphaned children who were in the care of their grandmother could be placed in formal foster care with the grandmother in order for her to obtain foster child grants for the three orphans. </w:t>
      </w:r>
      <w:r>
        <w:rPr>
          <w:rFonts w:asciiTheme="majorHAnsi" w:hAnsiTheme="majorHAnsi"/>
          <w:bCs/>
          <w:lang w:val="en-ZA" w:eastAsia="en-GB"/>
        </w:rPr>
        <w:t>T</w:t>
      </w:r>
      <w:r w:rsidRPr="00143E62">
        <w:rPr>
          <w:rFonts w:asciiTheme="majorHAnsi" w:hAnsiTheme="majorHAnsi"/>
          <w:bCs/>
          <w:lang w:val="en-ZA" w:eastAsia="en-GB"/>
        </w:rPr>
        <w:t>he High Court ruled that a caregiver who owes a legal duty of support may be appointed as a foster parent and is therefore entitled to apply for a foster care grant. Although the High Court agreed with existing case law that “neither the Children’s Act nor the Social Assistance Act nor the relevant regulations require an examination of the foster care giver’s income” (</w:t>
      </w:r>
      <w:r w:rsidRPr="00143E62">
        <w:rPr>
          <w:rFonts w:asciiTheme="majorHAnsi" w:hAnsiTheme="majorHAnsi"/>
          <w:bCs/>
          <w:i/>
          <w:iCs/>
          <w:lang w:val="en-ZA" w:eastAsia="en-GB"/>
        </w:rPr>
        <w:t xml:space="preserve">Manana </w:t>
      </w:r>
      <w:r w:rsidRPr="00143E62">
        <w:rPr>
          <w:rFonts w:asciiTheme="majorHAnsi" w:hAnsiTheme="majorHAnsi"/>
          <w:bCs/>
          <w:lang w:val="en-ZA" w:eastAsia="en-GB"/>
        </w:rPr>
        <w:t xml:space="preserve">para 31), the court examined whether the grandmother had the financial means to support the three orphaned children. </w:t>
      </w:r>
    </w:p>
    <w:p w14:paraId="47004864" w14:textId="26246A2F" w:rsidR="008F56DB" w:rsidRPr="00070A42" w:rsidRDefault="00143E62" w:rsidP="008F56DB">
      <w:pPr>
        <w:spacing w:line="276" w:lineRule="auto"/>
        <w:jc w:val="both"/>
        <w:rPr>
          <w:rFonts w:asciiTheme="majorHAnsi" w:hAnsiTheme="majorHAnsi"/>
          <w:bCs/>
          <w:lang w:val="en-ZA" w:eastAsia="en-GB"/>
        </w:rPr>
      </w:pPr>
      <w:r w:rsidRPr="00143E62">
        <w:rPr>
          <w:rFonts w:asciiTheme="majorHAnsi" w:hAnsiTheme="majorHAnsi"/>
          <w:bCs/>
          <w:lang w:val="en-ZA" w:eastAsia="en-GB"/>
        </w:rPr>
        <w:t xml:space="preserve">In the </w:t>
      </w:r>
      <w:r w:rsidRPr="00143E62">
        <w:rPr>
          <w:rFonts w:asciiTheme="majorHAnsi" w:hAnsiTheme="majorHAnsi"/>
          <w:bCs/>
          <w:i/>
          <w:iCs/>
          <w:lang w:val="en-ZA" w:eastAsia="en-GB"/>
        </w:rPr>
        <w:t xml:space="preserve">SS </w:t>
      </w:r>
      <w:r w:rsidRPr="00143E62">
        <w:rPr>
          <w:rFonts w:asciiTheme="majorHAnsi" w:hAnsiTheme="majorHAnsi"/>
          <w:bCs/>
          <w:lang w:val="en-ZA" w:eastAsia="en-GB"/>
        </w:rPr>
        <w:t xml:space="preserve">and the </w:t>
      </w:r>
      <w:r w:rsidRPr="00143E62">
        <w:rPr>
          <w:rFonts w:asciiTheme="majorHAnsi" w:hAnsiTheme="majorHAnsi"/>
          <w:bCs/>
          <w:i/>
          <w:iCs/>
          <w:lang w:val="en-ZA" w:eastAsia="en-GB"/>
        </w:rPr>
        <w:t xml:space="preserve">Manana </w:t>
      </w:r>
      <w:r w:rsidRPr="00143E62">
        <w:rPr>
          <w:rFonts w:asciiTheme="majorHAnsi" w:hAnsiTheme="majorHAnsi"/>
          <w:bCs/>
          <w:lang w:val="en-ZA" w:eastAsia="en-GB"/>
        </w:rPr>
        <w:t xml:space="preserve">case, the High Court was concerned with the best interests of the children before the court and essentially had only two choices available to it – turn the appeal down and force the families to survive on the small child support grant (R300/child in 2013) or uphold the appeal so that the care givers could apply for the larger foster care grant (R800/child in 2013). Both cases aimed to further the best interests of the children in front of the court by placing the children into foster care with their relatives so that these families could obtain a foster care grant. However, from a </w:t>
      </w:r>
      <w:r>
        <w:rPr>
          <w:rFonts w:asciiTheme="majorHAnsi" w:hAnsiTheme="majorHAnsi"/>
          <w:bCs/>
          <w:lang w:val="en-ZA" w:eastAsia="en-GB"/>
        </w:rPr>
        <w:t xml:space="preserve">policy perspective, </w:t>
      </w:r>
      <w:r w:rsidRPr="00143E62">
        <w:rPr>
          <w:rFonts w:asciiTheme="majorHAnsi" w:hAnsiTheme="majorHAnsi"/>
          <w:bCs/>
          <w:lang w:val="en-ZA" w:eastAsia="en-GB"/>
        </w:rPr>
        <w:t xml:space="preserve">amending section 150(1)(a) of the Children’s Act to reflect the wording used in these judgments is contrary to the best interests of the 1.5 million orphaned children </w:t>
      </w:r>
      <w:r>
        <w:rPr>
          <w:rFonts w:asciiTheme="majorHAnsi" w:hAnsiTheme="majorHAnsi"/>
          <w:bCs/>
          <w:lang w:val="en-ZA" w:eastAsia="en-GB"/>
        </w:rPr>
        <w:t>currently receiving social support.</w:t>
      </w:r>
      <w:r w:rsidRPr="00143E62">
        <w:rPr>
          <w:rFonts w:asciiTheme="majorHAnsi" w:hAnsiTheme="majorHAnsi"/>
          <w:bCs/>
          <w:lang w:val="en-ZA" w:eastAsia="en-GB"/>
        </w:rPr>
        <w:t xml:space="preserve"> </w:t>
      </w:r>
    </w:p>
    <w:p w14:paraId="0CC57A80" w14:textId="2E3A7EB9" w:rsidR="007848E4" w:rsidRPr="00C76363" w:rsidRDefault="00C76363" w:rsidP="007848E4">
      <w:pPr>
        <w:spacing w:line="276" w:lineRule="auto"/>
        <w:jc w:val="both"/>
        <w:rPr>
          <w:rFonts w:asciiTheme="majorHAnsi" w:hAnsiTheme="majorHAnsi"/>
          <w:i/>
          <w:lang w:val="en-ZA" w:eastAsia="en-GB"/>
        </w:rPr>
      </w:pPr>
      <w:r>
        <w:rPr>
          <w:rFonts w:asciiTheme="majorHAnsi" w:hAnsiTheme="majorHAnsi"/>
          <w:lang w:eastAsia="en-GB"/>
        </w:rPr>
        <w:t xml:space="preserve">In 2015/16 the South African government </w:t>
      </w:r>
      <w:r w:rsidR="007848E4">
        <w:rPr>
          <w:rFonts w:asciiTheme="majorHAnsi" w:hAnsiTheme="majorHAnsi"/>
          <w:lang w:eastAsia="en-GB"/>
        </w:rPr>
        <w:t>tabled two proposed amendme</w:t>
      </w:r>
      <w:r>
        <w:rPr>
          <w:rFonts w:asciiTheme="majorHAnsi" w:hAnsiTheme="majorHAnsi"/>
          <w:lang w:eastAsia="en-GB"/>
        </w:rPr>
        <w:t>nts to the Children’s Act</w:t>
      </w:r>
      <w:r w:rsidR="007848E4">
        <w:rPr>
          <w:rFonts w:asciiTheme="majorHAnsi" w:hAnsiTheme="majorHAnsi"/>
          <w:lang w:eastAsia="en-GB"/>
        </w:rPr>
        <w:t xml:space="preserve">. The Child Rights Institute at the University of Cape Town examines the proposed amendments and concludes that they are neither necessary nor in the best interests of the 1.5 million orphaned and vulnerable Children already receiving social support. </w:t>
      </w:r>
      <w:r w:rsidR="007848E4" w:rsidRPr="007848E4">
        <w:rPr>
          <w:rFonts w:asciiTheme="majorHAnsi" w:hAnsiTheme="majorHAnsi"/>
          <w:lang w:val="en-ZA" w:eastAsia="en-GB"/>
        </w:rPr>
        <w:t xml:space="preserve">The proposed amendment to section 150(1)(a) of the Children’s Act </w:t>
      </w:r>
      <w:r w:rsidR="007848E4">
        <w:rPr>
          <w:rFonts w:asciiTheme="majorHAnsi" w:hAnsiTheme="majorHAnsi"/>
          <w:lang w:val="en-ZA" w:eastAsia="en-GB"/>
        </w:rPr>
        <w:t>–they argue</w:t>
      </w:r>
      <w:r>
        <w:rPr>
          <w:rFonts w:asciiTheme="majorHAnsi" w:hAnsiTheme="majorHAnsi"/>
          <w:lang w:val="en-ZA" w:eastAsia="en-GB"/>
        </w:rPr>
        <w:t>,</w:t>
      </w:r>
      <w:r w:rsidR="007848E4">
        <w:rPr>
          <w:rFonts w:asciiTheme="majorHAnsi" w:hAnsiTheme="majorHAnsi"/>
          <w:lang w:val="en-ZA" w:eastAsia="en-GB"/>
        </w:rPr>
        <w:t xml:space="preserve"> “</w:t>
      </w:r>
      <w:r w:rsidR="007848E4" w:rsidRPr="00C76363">
        <w:rPr>
          <w:rFonts w:asciiTheme="majorHAnsi" w:hAnsiTheme="majorHAnsi"/>
          <w:i/>
          <w:lang w:val="en-ZA" w:eastAsia="en-GB"/>
        </w:rPr>
        <w:t xml:space="preserve">will lead to courts continuing to issue foster care orders in order to ensure that orphans living with extended family can access foster child grants. We submit that using the child protection system for poverty alleviation is inappropriate because it – </w:t>
      </w:r>
    </w:p>
    <w:p w14:paraId="0EF92A8A" w14:textId="77777777" w:rsidR="007848E4" w:rsidRPr="00C76363" w:rsidRDefault="007848E4" w:rsidP="00C76363">
      <w:pPr>
        <w:spacing w:line="276" w:lineRule="auto"/>
        <w:ind w:left="720"/>
        <w:jc w:val="both"/>
        <w:rPr>
          <w:rFonts w:asciiTheme="majorHAnsi" w:hAnsiTheme="majorHAnsi"/>
          <w:i/>
          <w:lang w:val="en-ZA" w:eastAsia="en-GB"/>
        </w:rPr>
      </w:pPr>
      <w:r w:rsidRPr="00C76363">
        <w:rPr>
          <w:rFonts w:asciiTheme="majorHAnsi" w:hAnsiTheme="majorHAnsi"/>
          <w:i/>
          <w:lang w:val="en-ZA" w:eastAsia="en-GB"/>
        </w:rPr>
        <w:sym w:font="Symbol" w:char="F0B7"/>
      </w:r>
      <w:r w:rsidRPr="00C76363">
        <w:rPr>
          <w:rFonts w:asciiTheme="majorHAnsi" w:hAnsiTheme="majorHAnsi"/>
          <w:i/>
          <w:lang w:val="en-ZA" w:eastAsia="en-GB"/>
        </w:rPr>
        <w:t xml:space="preserve">  Prevents orphans from accessing timeous and adequate social grants; </w:t>
      </w:r>
    </w:p>
    <w:p w14:paraId="75BBCFF0" w14:textId="7B6C0E7F" w:rsidR="007848E4" w:rsidRPr="00C76363" w:rsidRDefault="007848E4" w:rsidP="00C76363">
      <w:pPr>
        <w:spacing w:line="276" w:lineRule="auto"/>
        <w:ind w:left="720"/>
        <w:jc w:val="both"/>
        <w:rPr>
          <w:rFonts w:asciiTheme="majorHAnsi" w:hAnsiTheme="majorHAnsi"/>
          <w:i/>
          <w:lang w:val="en-ZA" w:eastAsia="en-GB"/>
        </w:rPr>
      </w:pPr>
      <w:r w:rsidRPr="00C76363">
        <w:rPr>
          <w:rFonts w:asciiTheme="majorHAnsi" w:hAnsiTheme="majorHAnsi"/>
          <w:i/>
          <w:lang w:val="en-ZA" w:eastAsia="en-GB"/>
        </w:rPr>
        <w:sym w:font="Symbol" w:char="F0B7"/>
      </w:r>
      <w:r w:rsidRPr="00C76363">
        <w:rPr>
          <w:rFonts w:asciiTheme="majorHAnsi" w:hAnsiTheme="majorHAnsi"/>
          <w:i/>
          <w:lang w:val="en-ZA" w:eastAsia="en-GB"/>
        </w:rPr>
        <w:t xml:space="preserve">  Prevents abused, neglected and exploited children from accessing state protection services; and </w:t>
      </w:r>
    </w:p>
    <w:p w14:paraId="412515EF" w14:textId="77777777" w:rsidR="007848E4" w:rsidRPr="00C76363" w:rsidRDefault="007848E4" w:rsidP="00C76363">
      <w:pPr>
        <w:spacing w:line="276" w:lineRule="auto"/>
        <w:ind w:left="720"/>
        <w:jc w:val="both"/>
        <w:rPr>
          <w:rFonts w:asciiTheme="majorHAnsi" w:hAnsiTheme="majorHAnsi"/>
          <w:i/>
          <w:lang w:val="en-ZA" w:eastAsia="en-GB"/>
        </w:rPr>
      </w:pPr>
      <w:r w:rsidRPr="00C76363">
        <w:rPr>
          <w:rFonts w:asciiTheme="majorHAnsi" w:hAnsiTheme="majorHAnsi"/>
          <w:i/>
          <w:lang w:val="en-ZA" w:eastAsia="en-GB"/>
        </w:rPr>
        <w:sym w:font="Symbol" w:char="F0B7"/>
      </w:r>
      <w:r w:rsidRPr="00C76363">
        <w:rPr>
          <w:rFonts w:asciiTheme="majorHAnsi" w:hAnsiTheme="majorHAnsi"/>
          <w:i/>
          <w:lang w:val="en-ZA" w:eastAsia="en-GB"/>
        </w:rPr>
        <w:t xml:space="preserve">  Worsens the current crisis in the child protection system. </w:t>
      </w:r>
    </w:p>
    <w:p w14:paraId="1D9C7BFB" w14:textId="40963DD8" w:rsidR="007848E4" w:rsidRPr="00C76363" w:rsidRDefault="007848E4" w:rsidP="007848E4">
      <w:pPr>
        <w:spacing w:line="276" w:lineRule="auto"/>
        <w:jc w:val="both"/>
        <w:rPr>
          <w:rFonts w:asciiTheme="majorHAnsi" w:hAnsiTheme="majorHAnsi"/>
          <w:i/>
          <w:lang w:val="en-ZA" w:eastAsia="en-GB"/>
        </w:rPr>
      </w:pPr>
      <w:r w:rsidRPr="00C76363">
        <w:rPr>
          <w:rFonts w:asciiTheme="majorHAnsi" w:hAnsiTheme="majorHAnsi"/>
          <w:i/>
          <w:lang w:val="en-ZA" w:eastAsia="en-GB"/>
        </w:rPr>
        <w:t>The child protection system is currently in crisis. It fails to respond adequately to abused and neglected children. Cases where children are reported with a suspicion of child abuse or neglect do not receive timely investigation placing them at r</w:t>
      </w:r>
      <w:r w:rsidR="00C76363">
        <w:rPr>
          <w:rFonts w:asciiTheme="majorHAnsi" w:hAnsiTheme="majorHAnsi"/>
          <w:i/>
          <w:lang w:val="en-ZA" w:eastAsia="en-GB"/>
        </w:rPr>
        <w:t xml:space="preserve">isk of continued abuse and even </w:t>
      </w:r>
      <w:r w:rsidR="00C76363">
        <w:rPr>
          <w:rFonts w:asciiTheme="majorHAnsi" w:hAnsiTheme="majorHAnsi"/>
          <w:lang w:val="en-ZA" w:eastAsia="en-GB"/>
        </w:rPr>
        <w:t>death.</w:t>
      </w:r>
      <w:r w:rsidRPr="00C76363">
        <w:rPr>
          <w:rFonts w:asciiTheme="majorHAnsi" w:hAnsiTheme="majorHAnsi"/>
          <w:i/>
          <w:lang w:val="en-ZA" w:eastAsia="en-GB"/>
        </w:rPr>
        <w:t xml:space="preserve"> Continuing the use of this system for the provision of social grants for orphans will come at the cost of blocking access to protective services for abused and neglected </w:t>
      </w:r>
      <w:r w:rsidRPr="00C76363">
        <w:rPr>
          <w:rFonts w:asciiTheme="majorHAnsi" w:hAnsiTheme="majorHAnsi"/>
          <w:i/>
          <w:lang w:val="en-ZA" w:eastAsia="en-GB"/>
        </w:rPr>
        <w:lastRenderedPageBreak/>
        <w:t>children. At the same time, the child protection system will be unable to adequately respond to the large number of orpha</w:t>
      </w:r>
      <w:r w:rsidR="00C76363">
        <w:rPr>
          <w:rFonts w:asciiTheme="majorHAnsi" w:hAnsiTheme="majorHAnsi"/>
          <w:i/>
          <w:lang w:val="en-ZA" w:eastAsia="en-GB"/>
        </w:rPr>
        <w:t>ns requiring social assistance.”</w:t>
      </w:r>
    </w:p>
    <w:p w14:paraId="70E60C7A" w14:textId="6AD2FFC4" w:rsidR="00256CB2" w:rsidRPr="00EA0EA9" w:rsidRDefault="00256CB2" w:rsidP="00C735D3">
      <w:pPr>
        <w:spacing w:line="276" w:lineRule="auto"/>
        <w:jc w:val="both"/>
        <w:rPr>
          <w:rFonts w:asciiTheme="majorHAnsi" w:hAnsiTheme="majorHAnsi"/>
          <w:lang w:eastAsia="en-GB"/>
        </w:rPr>
      </w:pPr>
    </w:p>
    <w:p w14:paraId="33C06FDD" w14:textId="47595010" w:rsidR="00256CB2" w:rsidRDefault="00070A42" w:rsidP="00216FAF">
      <w:pPr>
        <w:jc w:val="both"/>
        <w:rPr>
          <w:rFonts w:asciiTheme="majorHAnsi" w:hAnsiTheme="majorHAnsi"/>
          <w:lang w:val="en-ZA" w:eastAsia="en-GB"/>
        </w:rPr>
      </w:pPr>
      <w:r w:rsidRPr="00070A42">
        <w:rPr>
          <w:rFonts w:asciiTheme="majorHAnsi" w:hAnsiTheme="majorHAnsi"/>
          <w:lang w:val="en-ZA" w:eastAsia="en-GB"/>
        </w:rPr>
        <w:t>There are currently over 500 000 children in the</w:t>
      </w:r>
      <w:r>
        <w:rPr>
          <w:rFonts w:asciiTheme="majorHAnsi" w:hAnsiTheme="majorHAnsi"/>
          <w:lang w:val="en-ZA" w:eastAsia="en-GB"/>
        </w:rPr>
        <w:t xml:space="preserve"> South African</w:t>
      </w:r>
      <w:r w:rsidRPr="00070A42">
        <w:rPr>
          <w:rFonts w:asciiTheme="majorHAnsi" w:hAnsiTheme="majorHAnsi"/>
          <w:lang w:val="en-ZA" w:eastAsia="en-GB"/>
        </w:rPr>
        <w:t xml:space="preserve"> foster care system – the vast majority of them (around 90%) are orphans in the care of relatives. Since 2012, the number of foster care grants has been declining despite the large potential population of applicants. At the end of March 2012, 536 747 foster care grants were in payment. Consistent decreases over the next three years reduced this number to 499 774 at the end of March 201</w:t>
      </w:r>
      <w:r>
        <w:rPr>
          <w:rFonts w:asciiTheme="majorHAnsi" w:hAnsiTheme="majorHAnsi"/>
          <w:lang w:val="en-ZA" w:eastAsia="en-GB"/>
        </w:rPr>
        <w:t>5 – the lowest figure since 20</w:t>
      </w:r>
      <w:r w:rsidRPr="00070A42">
        <w:rPr>
          <w:rFonts w:asciiTheme="majorHAnsi" w:hAnsiTheme="majorHAnsi"/>
          <w:lang w:val="en-ZA" w:eastAsia="en-GB"/>
        </w:rPr>
        <w:t>09 despite the large number of orphans not in the foster care system. The 2011 court order effectively placed a moratorium on grants lapsing even when foster care orders had not been reviewed. In the absence of this court order, the number of foster care grants would have decreased much more rapidly: according to the Department’s own estimates, 300 000 foster care placement orders were due to expire at the end of 2012, indicating that the majority of children in foster care are not receiving the required supervisory or supportive services from social workers. According to the proposed amendment, foster care continues to be the preferred arrangement for orphans to access a social grant. A further 11 360 social workers would be needed just to manage the target of 1 million foster care placements for maternal orphans, if foster care is to be considered the care arrangement of choice for maternally orphaned children</w:t>
      </w:r>
      <w:r>
        <w:rPr>
          <w:rStyle w:val="FootnoteReference"/>
          <w:rFonts w:asciiTheme="majorHAnsi" w:hAnsiTheme="majorHAnsi"/>
          <w:lang w:val="en-ZA" w:eastAsia="en-GB"/>
        </w:rPr>
        <w:footnoteReference w:id="1"/>
      </w:r>
      <w:r w:rsidRPr="00070A42">
        <w:rPr>
          <w:rFonts w:asciiTheme="majorHAnsi" w:hAnsiTheme="majorHAnsi"/>
          <w:lang w:val="en-ZA" w:eastAsia="en-GB"/>
        </w:rPr>
        <w:t xml:space="preserve"> </w:t>
      </w:r>
      <w:r>
        <w:rPr>
          <w:rFonts w:asciiTheme="majorHAnsi" w:hAnsiTheme="majorHAnsi"/>
          <w:lang w:val="en-ZA" w:eastAsia="en-GB"/>
        </w:rPr>
        <w:t>.</w:t>
      </w:r>
    </w:p>
    <w:p w14:paraId="486149A8" w14:textId="77777777" w:rsidR="00070A42" w:rsidRDefault="00070A42" w:rsidP="00070A42">
      <w:pPr>
        <w:jc w:val="both"/>
        <w:rPr>
          <w:rFonts w:asciiTheme="majorHAnsi" w:hAnsiTheme="majorHAnsi"/>
          <w:bCs/>
          <w:lang w:eastAsia="en-GB"/>
        </w:rPr>
      </w:pPr>
    </w:p>
    <w:p w14:paraId="36AA85F3" w14:textId="4E817875" w:rsidR="00070A42" w:rsidRPr="00070A42" w:rsidRDefault="00070A42" w:rsidP="00070A42">
      <w:pPr>
        <w:jc w:val="both"/>
        <w:rPr>
          <w:rFonts w:asciiTheme="majorHAnsi" w:hAnsiTheme="majorHAnsi"/>
          <w:bCs/>
          <w:lang w:eastAsia="en-GB"/>
        </w:rPr>
      </w:pPr>
      <w:r>
        <w:rPr>
          <w:rFonts w:asciiTheme="majorHAnsi" w:hAnsiTheme="majorHAnsi"/>
          <w:bCs/>
          <w:lang w:eastAsia="en-GB"/>
        </w:rPr>
        <w:t>Notwithstanding these seemingly daunting challenges, the</w:t>
      </w:r>
      <w:r w:rsidRPr="00070A42">
        <w:rPr>
          <w:rFonts w:asciiTheme="majorHAnsi" w:hAnsiTheme="majorHAnsi"/>
          <w:bCs/>
          <w:lang w:eastAsia="en-GB"/>
        </w:rPr>
        <w:t xml:space="preserve"> 2015 </w:t>
      </w:r>
      <w:r w:rsidRPr="00070A42">
        <w:rPr>
          <w:rFonts w:asciiTheme="majorHAnsi" w:hAnsiTheme="majorHAnsi"/>
          <w:bCs/>
          <w:i/>
          <w:iCs/>
          <w:lang w:eastAsia="en-GB"/>
        </w:rPr>
        <w:t>South African Child Gauge</w:t>
      </w:r>
      <w:r w:rsidRPr="00070A42">
        <w:rPr>
          <w:rFonts w:asciiTheme="majorHAnsi" w:hAnsiTheme="majorHAnsi"/>
          <w:bCs/>
          <w:lang w:eastAsia="en-GB"/>
        </w:rPr>
        <w:t xml:space="preserve"> </w:t>
      </w:r>
      <w:r>
        <w:rPr>
          <w:rFonts w:asciiTheme="majorHAnsi" w:hAnsiTheme="majorHAnsi"/>
          <w:bCs/>
          <w:lang w:eastAsia="en-GB"/>
        </w:rPr>
        <w:t xml:space="preserve">which </w:t>
      </w:r>
      <w:r w:rsidRPr="00070A42">
        <w:rPr>
          <w:rFonts w:asciiTheme="majorHAnsi" w:hAnsiTheme="majorHAnsi"/>
          <w:bCs/>
          <w:lang w:eastAsia="en-GB"/>
        </w:rPr>
        <w:t xml:space="preserve">provides an annual snapshot of the country’s children; that is, all those under the age of </w:t>
      </w:r>
      <w:proofErr w:type="gramStart"/>
      <w:r w:rsidRPr="00070A42">
        <w:rPr>
          <w:rFonts w:asciiTheme="majorHAnsi" w:hAnsiTheme="majorHAnsi"/>
          <w:bCs/>
          <w:lang w:eastAsia="en-GB"/>
        </w:rPr>
        <w:t>18</w:t>
      </w:r>
      <w:r>
        <w:rPr>
          <w:rFonts w:asciiTheme="majorHAnsi" w:hAnsiTheme="majorHAnsi"/>
          <w:bCs/>
          <w:lang w:eastAsia="en-GB"/>
        </w:rPr>
        <w:t xml:space="preserve">  ,</w:t>
      </w:r>
      <w:proofErr w:type="gramEnd"/>
      <w:r w:rsidRPr="00070A42">
        <w:rPr>
          <w:rFonts w:asciiTheme="majorHAnsi" w:hAnsiTheme="majorHAnsi"/>
          <w:bCs/>
          <w:lang w:eastAsia="en-GB"/>
        </w:rPr>
        <w:t>indicates that: ‘</w:t>
      </w:r>
      <w:r w:rsidRPr="00070A42">
        <w:rPr>
          <w:rFonts w:asciiTheme="majorHAnsi" w:hAnsiTheme="majorHAnsi"/>
          <w:bCs/>
          <w:i/>
          <w:lang w:eastAsia="en-GB"/>
        </w:rPr>
        <w:t xml:space="preserve">the last </w:t>
      </w:r>
      <w:r w:rsidR="009B2827" w:rsidRPr="00070A42">
        <w:rPr>
          <w:rFonts w:asciiTheme="majorHAnsi" w:hAnsiTheme="majorHAnsi"/>
          <w:bCs/>
          <w:i/>
          <w:lang w:eastAsia="en-GB"/>
        </w:rPr>
        <w:t>decade</w:t>
      </w:r>
      <w:r w:rsidR="009B2827">
        <w:rPr>
          <w:rFonts w:asciiTheme="majorHAnsi" w:hAnsiTheme="majorHAnsi"/>
          <w:bCs/>
          <w:i/>
          <w:lang w:eastAsia="en-GB"/>
        </w:rPr>
        <w:t xml:space="preserve"> [</w:t>
      </w:r>
      <w:r w:rsidR="00532B0B">
        <w:rPr>
          <w:rFonts w:asciiTheme="majorHAnsi" w:hAnsiTheme="majorHAnsi"/>
          <w:bCs/>
          <w:i/>
          <w:lang w:eastAsia="en-GB"/>
        </w:rPr>
        <w:t>since 2005]</w:t>
      </w:r>
      <w:r w:rsidRPr="00070A42">
        <w:rPr>
          <w:rFonts w:asciiTheme="majorHAnsi" w:hAnsiTheme="majorHAnsi"/>
          <w:bCs/>
          <w:i/>
          <w:lang w:eastAsia="en-GB"/>
        </w:rPr>
        <w:t xml:space="preserve"> has seen substantial progress in the overall wellbeing of South African under-18s</w:t>
      </w:r>
      <w:r w:rsidRPr="00070A42">
        <w:rPr>
          <w:rFonts w:asciiTheme="majorHAnsi" w:hAnsiTheme="majorHAnsi"/>
          <w:bCs/>
          <w:lang w:eastAsia="en-GB"/>
        </w:rPr>
        <w:t>’. However, South African children are by no means out of the woods. There are still some major challenges in terms of healthcare, education, unemployment and basic access to services. Researchers at the Children’s Institute in Cape Town observe that there have been significant gains over the last ten years. In a nutshell:</w:t>
      </w:r>
    </w:p>
    <w:p w14:paraId="46E18156" w14:textId="77777777" w:rsidR="00070A42" w:rsidRPr="00070A42" w:rsidRDefault="00070A42" w:rsidP="00070A42">
      <w:pPr>
        <w:numPr>
          <w:ilvl w:val="0"/>
          <w:numId w:val="60"/>
        </w:numPr>
        <w:jc w:val="both"/>
        <w:rPr>
          <w:rFonts w:asciiTheme="majorHAnsi" w:hAnsiTheme="majorHAnsi"/>
          <w:bCs/>
          <w:lang w:eastAsia="en-GB"/>
        </w:rPr>
      </w:pPr>
      <w:r w:rsidRPr="00070A42">
        <w:rPr>
          <w:rFonts w:asciiTheme="majorHAnsi" w:hAnsiTheme="majorHAnsi"/>
          <w:bCs/>
          <w:lang w:eastAsia="en-GB"/>
        </w:rPr>
        <w:t>Child poverty has dropped from 74% in 2003 to 54% in 2013, driven primarily by the expansion of the Child Support Grant, which now reaches just under 12 million children;</w:t>
      </w:r>
    </w:p>
    <w:p w14:paraId="542B93B6" w14:textId="77777777" w:rsidR="00070A42" w:rsidRPr="00070A42" w:rsidRDefault="00070A42" w:rsidP="00070A42">
      <w:pPr>
        <w:numPr>
          <w:ilvl w:val="0"/>
          <w:numId w:val="60"/>
        </w:numPr>
        <w:jc w:val="both"/>
        <w:rPr>
          <w:rFonts w:asciiTheme="majorHAnsi" w:hAnsiTheme="majorHAnsi"/>
          <w:bCs/>
          <w:lang w:eastAsia="en-GB"/>
        </w:rPr>
      </w:pPr>
      <w:r w:rsidRPr="00070A42">
        <w:rPr>
          <w:rFonts w:asciiTheme="majorHAnsi" w:hAnsiTheme="majorHAnsi"/>
          <w:bCs/>
          <w:lang w:eastAsia="en-GB"/>
        </w:rPr>
        <w:t>Children’s access to formal housing has increased to 75%, with access to basic sanitation at 72%;</w:t>
      </w:r>
    </w:p>
    <w:p w14:paraId="26CE944C" w14:textId="77777777" w:rsidR="00070A42" w:rsidRPr="00070A42" w:rsidRDefault="00070A42" w:rsidP="00070A42">
      <w:pPr>
        <w:numPr>
          <w:ilvl w:val="0"/>
          <w:numId w:val="60"/>
        </w:numPr>
        <w:jc w:val="both"/>
        <w:rPr>
          <w:rFonts w:asciiTheme="majorHAnsi" w:hAnsiTheme="majorHAnsi"/>
          <w:bCs/>
          <w:lang w:eastAsia="en-GB"/>
        </w:rPr>
      </w:pPr>
      <w:r w:rsidRPr="00070A42">
        <w:rPr>
          <w:rFonts w:asciiTheme="majorHAnsi" w:hAnsiTheme="majorHAnsi"/>
          <w:bCs/>
          <w:lang w:eastAsia="en-GB"/>
        </w:rPr>
        <w:t>Deaths of children under five years old have fallen, following the rollout of the Prevention of Mother to Child Transmission programme [HIV/Aids prevention];</w:t>
      </w:r>
    </w:p>
    <w:p w14:paraId="5E1BDFA7" w14:textId="77777777" w:rsidR="00070A42" w:rsidRPr="00070A42" w:rsidRDefault="00070A42" w:rsidP="00070A42">
      <w:pPr>
        <w:numPr>
          <w:ilvl w:val="0"/>
          <w:numId w:val="60"/>
        </w:numPr>
        <w:jc w:val="both"/>
        <w:rPr>
          <w:rFonts w:asciiTheme="majorHAnsi" w:hAnsiTheme="majorHAnsi"/>
          <w:bCs/>
          <w:lang w:eastAsia="en-GB"/>
        </w:rPr>
      </w:pPr>
      <w:r w:rsidRPr="00070A42">
        <w:rPr>
          <w:rFonts w:asciiTheme="majorHAnsi" w:hAnsiTheme="majorHAnsi"/>
          <w:bCs/>
          <w:lang w:eastAsia="en-GB"/>
        </w:rPr>
        <w:t>Access to early childhood development programmes has increased significantly since 2002;</w:t>
      </w:r>
    </w:p>
    <w:p w14:paraId="6E6004C6" w14:textId="77777777" w:rsidR="00070A42" w:rsidRPr="00070A42" w:rsidRDefault="00070A42" w:rsidP="00070A42">
      <w:pPr>
        <w:numPr>
          <w:ilvl w:val="0"/>
          <w:numId w:val="60"/>
        </w:numPr>
        <w:jc w:val="both"/>
        <w:rPr>
          <w:rFonts w:asciiTheme="majorHAnsi" w:hAnsiTheme="majorHAnsi"/>
          <w:bCs/>
          <w:lang w:eastAsia="en-GB"/>
        </w:rPr>
      </w:pPr>
      <w:r w:rsidRPr="00070A42">
        <w:rPr>
          <w:rFonts w:asciiTheme="majorHAnsi" w:hAnsiTheme="majorHAnsi"/>
          <w:bCs/>
          <w:lang w:eastAsia="en-GB"/>
        </w:rPr>
        <w:t>Access to basic education is nearly universal, at 98%.</w:t>
      </w:r>
    </w:p>
    <w:p w14:paraId="74A40A7A" w14:textId="77777777" w:rsidR="00070A42" w:rsidRPr="00070A42" w:rsidRDefault="00070A42" w:rsidP="00070A42">
      <w:pPr>
        <w:jc w:val="both"/>
        <w:rPr>
          <w:rFonts w:asciiTheme="majorHAnsi" w:hAnsiTheme="majorHAnsi"/>
          <w:bCs/>
          <w:lang w:eastAsia="en-GB"/>
        </w:rPr>
      </w:pPr>
    </w:p>
    <w:p w14:paraId="5432CF8C" w14:textId="77777777" w:rsidR="00070A42" w:rsidRPr="00070A42" w:rsidRDefault="00070A42" w:rsidP="00070A42">
      <w:pPr>
        <w:jc w:val="both"/>
        <w:rPr>
          <w:rFonts w:asciiTheme="majorHAnsi" w:hAnsiTheme="majorHAnsi"/>
          <w:bCs/>
          <w:lang w:eastAsia="en-GB"/>
        </w:rPr>
      </w:pPr>
      <w:r w:rsidRPr="00070A42">
        <w:rPr>
          <w:rFonts w:asciiTheme="majorHAnsi" w:hAnsiTheme="majorHAnsi"/>
          <w:bCs/>
          <w:lang w:eastAsia="en-GB"/>
        </w:rPr>
        <w:t>These gains are –in part- the result of more progressive policies that have come about because of sustained advocacy and protest by civil society organizations. It is commendable that the South African government has heeded the advice of its citizens on how to improve the lot of children in the country. However, as much as there are gains there are also reversals and some stagnation with respect to specific rights discussed in the recommendations section of this report.</w:t>
      </w:r>
    </w:p>
    <w:p w14:paraId="5E0A61D1" w14:textId="77777777" w:rsidR="00070A42" w:rsidRPr="00070A42" w:rsidRDefault="00070A42" w:rsidP="00216FAF">
      <w:pPr>
        <w:jc w:val="both"/>
        <w:rPr>
          <w:rFonts w:asciiTheme="majorHAnsi" w:hAnsiTheme="majorHAnsi"/>
          <w:lang w:val="en-ZA" w:eastAsia="en-GB"/>
        </w:rPr>
      </w:pPr>
    </w:p>
    <w:p w14:paraId="789034CB" w14:textId="77777777" w:rsidR="00E70F61" w:rsidRPr="00EA0EA9" w:rsidRDefault="00563FBA" w:rsidP="003972BA">
      <w:pPr>
        <w:pStyle w:val="Heading1"/>
        <w:numPr>
          <w:ilvl w:val="0"/>
          <w:numId w:val="75"/>
        </w:numPr>
        <w:rPr>
          <w:color w:val="0000FF"/>
          <w:sz w:val="32"/>
          <w:lang w:eastAsia="en-GB"/>
        </w:rPr>
      </w:pPr>
      <w:bookmarkStart w:id="3" w:name="_Toc476983569"/>
      <w:r w:rsidRPr="00EA0EA9">
        <w:rPr>
          <w:color w:val="0000FF"/>
          <w:sz w:val="32"/>
          <w:lang w:eastAsia="en-GB"/>
        </w:rPr>
        <w:t xml:space="preserve">Purpose of Paper, </w:t>
      </w:r>
      <w:r w:rsidR="00E70F61" w:rsidRPr="00EA0EA9">
        <w:rPr>
          <w:color w:val="0000FF"/>
          <w:sz w:val="32"/>
          <w:lang w:eastAsia="en-GB"/>
        </w:rPr>
        <w:t>Methodology and Approach</w:t>
      </w:r>
      <w:bookmarkEnd w:id="3"/>
    </w:p>
    <w:p w14:paraId="4F4642D6" w14:textId="77777777" w:rsidR="00713226" w:rsidRPr="00EA0EA9" w:rsidRDefault="00713226" w:rsidP="003972BA">
      <w:pPr>
        <w:pStyle w:val="Heading2"/>
        <w:numPr>
          <w:ilvl w:val="1"/>
          <w:numId w:val="75"/>
        </w:numPr>
        <w:rPr>
          <w:color w:val="C00000"/>
          <w:sz w:val="28"/>
          <w:lang w:eastAsia="en-GB"/>
        </w:rPr>
      </w:pPr>
      <w:bookmarkStart w:id="4" w:name="_Toc476983570"/>
      <w:r w:rsidRPr="00EA0EA9">
        <w:rPr>
          <w:color w:val="C00000"/>
          <w:sz w:val="28"/>
          <w:lang w:eastAsia="en-GB"/>
        </w:rPr>
        <w:t>Purpose</w:t>
      </w:r>
      <w:bookmarkEnd w:id="4"/>
    </w:p>
    <w:p w14:paraId="557EE595" w14:textId="29C0CC1D" w:rsidR="00713226" w:rsidRPr="00EA0EA9" w:rsidRDefault="00713226" w:rsidP="00713226">
      <w:pPr>
        <w:jc w:val="both"/>
        <w:rPr>
          <w:rFonts w:asciiTheme="majorHAnsi" w:hAnsiTheme="majorHAnsi"/>
          <w:bCs/>
          <w:lang w:eastAsia="en-GB"/>
        </w:rPr>
      </w:pPr>
      <w:r w:rsidRPr="00EA0EA9">
        <w:rPr>
          <w:rFonts w:asciiTheme="majorHAnsi" w:hAnsiTheme="majorHAnsi"/>
          <w:bCs/>
          <w:lang w:eastAsia="en-GB"/>
        </w:rPr>
        <w:t xml:space="preserve">This report focuses on areas that are pertinent to children’s development and how these relate to the operational environment for CSOs in South Africa. It </w:t>
      </w:r>
      <w:r w:rsidR="00D25CDC" w:rsidRPr="00EA0EA9">
        <w:rPr>
          <w:rFonts w:asciiTheme="majorHAnsi" w:hAnsiTheme="majorHAnsi"/>
          <w:bCs/>
          <w:lang w:eastAsia="en-GB"/>
        </w:rPr>
        <w:t>analyses</w:t>
      </w:r>
      <w:r w:rsidRPr="00EA0EA9">
        <w:rPr>
          <w:rFonts w:asciiTheme="majorHAnsi" w:hAnsiTheme="majorHAnsi"/>
          <w:bCs/>
          <w:lang w:eastAsia="en-GB"/>
        </w:rPr>
        <w:t xml:space="preserve"> trends in areas of social inclusion, nutrition, health, Human Immune Virus (HIV),</w:t>
      </w:r>
      <w:r w:rsidR="00A34CFB" w:rsidRPr="00EA0EA9">
        <w:rPr>
          <w:rFonts w:asciiTheme="majorHAnsi" w:hAnsiTheme="majorHAnsi"/>
          <w:bCs/>
          <w:lang w:eastAsia="en-GB"/>
        </w:rPr>
        <w:t xml:space="preserve"> </w:t>
      </w:r>
      <w:r w:rsidRPr="00EA0EA9">
        <w:rPr>
          <w:rFonts w:asciiTheme="majorHAnsi" w:hAnsiTheme="majorHAnsi"/>
          <w:bCs/>
          <w:lang w:eastAsia="en-GB"/>
        </w:rPr>
        <w:t>water, sanitation, education and child protection. These sectors are central to achievement of child rights as contained in the South African Constitution, the African Charter on the Rights of the Child and the United Nations (UN) Charter on the Rights of the Child. Reflecting on these sectors is particularly useful for the advocacy on child rights but also for the State, as it reviews its performance in terms of the commitments made under the National Development Plan and the Constitution.</w:t>
      </w:r>
    </w:p>
    <w:p w14:paraId="003A56CE" w14:textId="77777777" w:rsidR="00713226" w:rsidRPr="00EA0EA9" w:rsidRDefault="00713226" w:rsidP="00713226">
      <w:pPr>
        <w:jc w:val="both"/>
        <w:rPr>
          <w:rFonts w:asciiTheme="majorHAnsi" w:hAnsiTheme="majorHAnsi"/>
          <w:bCs/>
          <w:lang w:eastAsia="en-GB"/>
        </w:rPr>
      </w:pPr>
    </w:p>
    <w:p w14:paraId="5920CFDC" w14:textId="549DD70F" w:rsidR="00713226" w:rsidRPr="00EA0EA9" w:rsidRDefault="00713226" w:rsidP="00713226">
      <w:pPr>
        <w:jc w:val="both"/>
        <w:rPr>
          <w:rFonts w:asciiTheme="majorHAnsi" w:hAnsiTheme="majorHAnsi"/>
          <w:bCs/>
          <w:lang w:eastAsia="en-GB"/>
        </w:rPr>
      </w:pPr>
      <w:r w:rsidRPr="00EA0EA9">
        <w:rPr>
          <w:rFonts w:asciiTheme="majorHAnsi" w:hAnsiTheme="majorHAnsi"/>
          <w:bCs/>
          <w:lang w:eastAsia="en-GB"/>
        </w:rPr>
        <w:t xml:space="preserve">The paper also reflects on the situation in other Southern African countries that has a direct and indirect bearing on the South African context and </w:t>
      </w:r>
      <w:r w:rsidR="00A34CFB" w:rsidRPr="00EA0EA9">
        <w:rPr>
          <w:rFonts w:asciiTheme="majorHAnsi" w:hAnsiTheme="majorHAnsi"/>
          <w:bCs/>
          <w:lang w:eastAsia="en-GB"/>
        </w:rPr>
        <w:t>migration</w:t>
      </w:r>
      <w:r w:rsidRPr="00EA0EA9">
        <w:rPr>
          <w:rFonts w:asciiTheme="majorHAnsi" w:hAnsiTheme="majorHAnsi"/>
          <w:bCs/>
          <w:lang w:eastAsia="en-GB"/>
        </w:rPr>
        <w:t xml:space="preserve"> by children from the rest of Africa into South Africa. </w:t>
      </w:r>
      <w:r w:rsidR="00A34CFB" w:rsidRPr="00EA0EA9">
        <w:rPr>
          <w:rFonts w:asciiTheme="majorHAnsi" w:hAnsiTheme="majorHAnsi"/>
          <w:bCs/>
          <w:lang w:eastAsia="en-GB"/>
        </w:rPr>
        <w:t xml:space="preserve">In essence, </w:t>
      </w:r>
      <w:r w:rsidRPr="00EA0EA9">
        <w:rPr>
          <w:rFonts w:asciiTheme="majorHAnsi" w:hAnsiTheme="majorHAnsi"/>
          <w:bCs/>
          <w:lang w:eastAsia="en-GB"/>
        </w:rPr>
        <w:t>this report has three primary enquiries, namely:</w:t>
      </w:r>
    </w:p>
    <w:p w14:paraId="5AD31F83" w14:textId="77777777" w:rsidR="00713226" w:rsidRPr="00EA0EA9" w:rsidRDefault="00713226" w:rsidP="00713226">
      <w:pPr>
        <w:numPr>
          <w:ilvl w:val="0"/>
          <w:numId w:val="1"/>
        </w:numPr>
        <w:jc w:val="both"/>
        <w:rPr>
          <w:rFonts w:asciiTheme="majorHAnsi" w:hAnsiTheme="majorHAnsi"/>
          <w:bCs/>
          <w:lang w:eastAsia="en-GB"/>
        </w:rPr>
      </w:pPr>
      <w:r w:rsidRPr="00EA0EA9">
        <w:rPr>
          <w:rFonts w:asciiTheme="majorHAnsi" w:hAnsiTheme="majorHAnsi"/>
          <w:bCs/>
          <w:lang w:eastAsia="en-GB"/>
        </w:rPr>
        <w:t>Whether South Africa has a guaranteed framework of equal citizen rights, covering issues such as access to justice; respect for rule of law; the freedoms of expression, association and assembly; as well as basic economic and social rights to enable citizens to exercise these freedoms effectively;</w:t>
      </w:r>
    </w:p>
    <w:p w14:paraId="706CBEBA" w14:textId="37755577" w:rsidR="00713226" w:rsidRPr="00EA0EA9" w:rsidRDefault="00713226" w:rsidP="00713226">
      <w:pPr>
        <w:numPr>
          <w:ilvl w:val="0"/>
          <w:numId w:val="1"/>
        </w:numPr>
        <w:jc w:val="both"/>
        <w:rPr>
          <w:rFonts w:asciiTheme="majorHAnsi" w:hAnsiTheme="majorHAnsi"/>
          <w:bCs/>
          <w:lang w:eastAsia="en-GB"/>
        </w:rPr>
      </w:pPr>
      <w:r w:rsidRPr="00EA0EA9">
        <w:rPr>
          <w:rFonts w:asciiTheme="majorHAnsi" w:hAnsiTheme="majorHAnsi"/>
          <w:bCs/>
          <w:lang w:eastAsia="en-GB"/>
        </w:rPr>
        <w:t>Whether, South Africa has institutions of representative and accountable governance for ensuring popular participation in the constitution of the government and the monitoring of its performance by citizens and procedures that are designed to ensure the continuous accountability of officials, elected as well as non-elected, to the public;</w:t>
      </w:r>
    </w:p>
    <w:p w14:paraId="16DDD31E" w14:textId="77777777" w:rsidR="00713226" w:rsidRPr="00EA0EA9" w:rsidRDefault="00713226" w:rsidP="00713226">
      <w:pPr>
        <w:numPr>
          <w:ilvl w:val="0"/>
          <w:numId w:val="1"/>
        </w:numPr>
        <w:jc w:val="both"/>
        <w:rPr>
          <w:rFonts w:asciiTheme="majorHAnsi" w:hAnsiTheme="majorHAnsi"/>
          <w:bCs/>
          <w:lang w:eastAsia="en-GB"/>
        </w:rPr>
      </w:pPr>
      <w:r w:rsidRPr="00EA0EA9">
        <w:rPr>
          <w:rFonts w:asciiTheme="majorHAnsi" w:hAnsiTheme="majorHAnsi"/>
          <w:bCs/>
          <w:lang w:eastAsia="en-GB"/>
        </w:rPr>
        <w:t>Whether South Africa has a vibrant civil society that includes free and pluralistic media and vibrant civil society organizations; public consultation systems that encourage popular participation in the governance and development processes, involve marginalized groups in decision-making, elicit governmental responsiveness to public opinion and improve public service delivery; integration of women, children and other marginalized groups in the consultation?</w:t>
      </w:r>
    </w:p>
    <w:p w14:paraId="56F8EEF4" w14:textId="77777777" w:rsidR="00713226" w:rsidRPr="00EA0EA9" w:rsidRDefault="00713226" w:rsidP="00713226">
      <w:pPr>
        <w:jc w:val="both"/>
        <w:rPr>
          <w:rFonts w:asciiTheme="majorHAnsi" w:hAnsiTheme="majorHAnsi"/>
          <w:bCs/>
          <w:lang w:eastAsia="en-GB"/>
        </w:rPr>
      </w:pPr>
    </w:p>
    <w:p w14:paraId="26F3E44E" w14:textId="77777777" w:rsidR="00713226" w:rsidRPr="00EA0EA9" w:rsidRDefault="00713226" w:rsidP="00713226">
      <w:pPr>
        <w:jc w:val="both"/>
        <w:rPr>
          <w:rFonts w:asciiTheme="majorHAnsi" w:hAnsiTheme="majorHAnsi"/>
          <w:bCs/>
          <w:lang w:eastAsia="en-GB"/>
        </w:rPr>
      </w:pPr>
      <w:r w:rsidRPr="00EA0EA9">
        <w:rPr>
          <w:rFonts w:asciiTheme="majorHAnsi" w:hAnsiTheme="majorHAnsi"/>
          <w:bCs/>
          <w:lang w:eastAsia="en-GB"/>
        </w:rPr>
        <w:t>These broad questions help in the understanding of whether the following objectives of enabling environment are met within South Africa, namely:</w:t>
      </w:r>
    </w:p>
    <w:p w14:paraId="758A39C2" w14:textId="77777777" w:rsidR="00713226" w:rsidRPr="00EA0EA9" w:rsidRDefault="00713226" w:rsidP="00713226">
      <w:pPr>
        <w:numPr>
          <w:ilvl w:val="0"/>
          <w:numId w:val="2"/>
        </w:numPr>
        <w:jc w:val="both"/>
        <w:rPr>
          <w:rFonts w:asciiTheme="majorHAnsi" w:hAnsiTheme="majorHAnsi"/>
          <w:bCs/>
          <w:lang w:eastAsia="en-GB"/>
        </w:rPr>
      </w:pPr>
      <w:r w:rsidRPr="00EA0EA9">
        <w:rPr>
          <w:rFonts w:asciiTheme="majorHAnsi" w:hAnsiTheme="majorHAnsi"/>
          <w:bCs/>
          <w:lang w:eastAsia="en-GB"/>
        </w:rPr>
        <w:t>Prevention of intra-country conflict;</w:t>
      </w:r>
    </w:p>
    <w:p w14:paraId="52D6B4DF" w14:textId="7B6A1DC0" w:rsidR="00713226" w:rsidRPr="00EA0EA9" w:rsidRDefault="00713226" w:rsidP="00713226">
      <w:pPr>
        <w:numPr>
          <w:ilvl w:val="0"/>
          <w:numId w:val="2"/>
        </w:numPr>
        <w:jc w:val="both"/>
        <w:rPr>
          <w:rFonts w:asciiTheme="majorHAnsi" w:hAnsiTheme="majorHAnsi"/>
          <w:bCs/>
          <w:lang w:eastAsia="en-GB"/>
        </w:rPr>
      </w:pPr>
      <w:r w:rsidRPr="00EA0EA9">
        <w:rPr>
          <w:rFonts w:asciiTheme="majorHAnsi" w:hAnsiTheme="majorHAnsi"/>
          <w:bCs/>
          <w:lang w:eastAsia="en-GB"/>
        </w:rPr>
        <w:t>Uph</w:t>
      </w:r>
      <w:r w:rsidR="002132B3" w:rsidRPr="00EA0EA9">
        <w:rPr>
          <w:rFonts w:asciiTheme="majorHAnsi" w:hAnsiTheme="majorHAnsi"/>
          <w:bCs/>
          <w:lang w:eastAsia="en-GB"/>
        </w:rPr>
        <w:t>olding constitutional democracy</w:t>
      </w:r>
      <w:r w:rsidRPr="00EA0EA9">
        <w:rPr>
          <w:rFonts w:asciiTheme="majorHAnsi" w:hAnsiTheme="majorHAnsi"/>
          <w:bCs/>
          <w:lang w:eastAsia="en-GB"/>
        </w:rPr>
        <w:t>, rule of law and human rights;</w:t>
      </w:r>
    </w:p>
    <w:p w14:paraId="11E5B059" w14:textId="77777777" w:rsidR="00713226" w:rsidRPr="00EA0EA9" w:rsidRDefault="00713226" w:rsidP="00713226">
      <w:pPr>
        <w:numPr>
          <w:ilvl w:val="0"/>
          <w:numId w:val="2"/>
        </w:numPr>
        <w:jc w:val="both"/>
        <w:rPr>
          <w:rFonts w:asciiTheme="majorHAnsi" w:hAnsiTheme="majorHAnsi"/>
          <w:bCs/>
          <w:lang w:eastAsia="en-GB"/>
        </w:rPr>
      </w:pPr>
      <w:r w:rsidRPr="00EA0EA9">
        <w:rPr>
          <w:rFonts w:asciiTheme="majorHAnsi" w:hAnsiTheme="majorHAnsi"/>
          <w:bCs/>
          <w:lang w:eastAsia="en-GB"/>
        </w:rPr>
        <w:t>Promotion and protection of economic, social and cultural rights, civil and political rights enshrined both in the South African constitution, African Charters and International human rights instruments;</w:t>
      </w:r>
    </w:p>
    <w:p w14:paraId="33AAF7F0" w14:textId="6D38DC12" w:rsidR="00713226" w:rsidRPr="00EA0EA9" w:rsidRDefault="00713226" w:rsidP="00713226">
      <w:pPr>
        <w:numPr>
          <w:ilvl w:val="0"/>
          <w:numId w:val="2"/>
        </w:numPr>
        <w:jc w:val="both"/>
        <w:rPr>
          <w:rFonts w:asciiTheme="majorHAnsi" w:hAnsiTheme="majorHAnsi"/>
          <w:bCs/>
          <w:lang w:eastAsia="en-GB"/>
        </w:rPr>
      </w:pPr>
      <w:r w:rsidRPr="00EA0EA9">
        <w:rPr>
          <w:rFonts w:asciiTheme="majorHAnsi" w:hAnsiTheme="majorHAnsi"/>
          <w:bCs/>
          <w:lang w:eastAsia="en-GB"/>
        </w:rPr>
        <w:t>Upholding of the doctrine and practice of separation of powers, including the protection of the independence of the judiciary and an effective parliament;</w:t>
      </w:r>
    </w:p>
    <w:p w14:paraId="40F66F1B" w14:textId="77777777" w:rsidR="00713226" w:rsidRPr="00EA0EA9" w:rsidRDefault="00713226" w:rsidP="00713226">
      <w:pPr>
        <w:numPr>
          <w:ilvl w:val="0"/>
          <w:numId w:val="2"/>
        </w:numPr>
        <w:jc w:val="both"/>
        <w:rPr>
          <w:rFonts w:asciiTheme="majorHAnsi" w:hAnsiTheme="majorHAnsi"/>
          <w:bCs/>
          <w:lang w:eastAsia="en-GB"/>
        </w:rPr>
      </w:pPr>
      <w:r w:rsidRPr="00EA0EA9">
        <w:rPr>
          <w:rFonts w:asciiTheme="majorHAnsi" w:hAnsiTheme="majorHAnsi"/>
          <w:bCs/>
          <w:lang w:eastAsia="en-GB"/>
        </w:rPr>
        <w:t xml:space="preserve">Ensuring accountable, efficient, and effective public office holders and civil servants; </w:t>
      </w:r>
    </w:p>
    <w:p w14:paraId="49112C22" w14:textId="77777777" w:rsidR="00713226" w:rsidRPr="00EA0EA9" w:rsidRDefault="00713226" w:rsidP="00713226">
      <w:pPr>
        <w:numPr>
          <w:ilvl w:val="0"/>
          <w:numId w:val="2"/>
        </w:numPr>
        <w:jc w:val="both"/>
        <w:rPr>
          <w:rFonts w:asciiTheme="majorHAnsi" w:hAnsiTheme="majorHAnsi"/>
          <w:bCs/>
          <w:lang w:eastAsia="en-GB"/>
        </w:rPr>
      </w:pPr>
      <w:r w:rsidRPr="00EA0EA9">
        <w:rPr>
          <w:rFonts w:asciiTheme="majorHAnsi" w:hAnsiTheme="majorHAnsi"/>
          <w:bCs/>
          <w:lang w:eastAsia="en-GB"/>
        </w:rPr>
        <w:t>Combating corruption in both the public and private sphere;</w:t>
      </w:r>
    </w:p>
    <w:p w14:paraId="32D6FF93" w14:textId="47B7FCDD" w:rsidR="00713226" w:rsidRPr="00EA0EA9" w:rsidRDefault="00713226" w:rsidP="00713226">
      <w:pPr>
        <w:numPr>
          <w:ilvl w:val="0"/>
          <w:numId w:val="2"/>
        </w:numPr>
        <w:jc w:val="both"/>
        <w:rPr>
          <w:rFonts w:asciiTheme="majorHAnsi" w:hAnsiTheme="majorHAnsi"/>
          <w:bCs/>
          <w:lang w:eastAsia="en-GB"/>
        </w:rPr>
      </w:pPr>
      <w:r w:rsidRPr="00EA0EA9">
        <w:rPr>
          <w:rFonts w:asciiTheme="majorHAnsi" w:hAnsiTheme="majorHAnsi"/>
          <w:bCs/>
          <w:lang w:eastAsia="en-GB"/>
        </w:rPr>
        <w:t>Promotion a</w:t>
      </w:r>
      <w:r w:rsidR="002132B3" w:rsidRPr="00EA0EA9">
        <w:rPr>
          <w:rFonts w:asciiTheme="majorHAnsi" w:hAnsiTheme="majorHAnsi"/>
          <w:bCs/>
          <w:lang w:eastAsia="en-GB"/>
        </w:rPr>
        <w:t xml:space="preserve">nd protection of the rights of </w:t>
      </w:r>
      <w:r w:rsidRPr="00EA0EA9">
        <w:rPr>
          <w:rFonts w:asciiTheme="majorHAnsi" w:hAnsiTheme="majorHAnsi"/>
          <w:bCs/>
          <w:lang w:eastAsia="en-GB"/>
        </w:rPr>
        <w:t>women;</w:t>
      </w:r>
    </w:p>
    <w:p w14:paraId="7D178177" w14:textId="77777777" w:rsidR="00713226" w:rsidRPr="00EA0EA9" w:rsidRDefault="00713226" w:rsidP="00713226">
      <w:pPr>
        <w:numPr>
          <w:ilvl w:val="0"/>
          <w:numId w:val="2"/>
        </w:numPr>
        <w:jc w:val="both"/>
        <w:rPr>
          <w:rFonts w:asciiTheme="majorHAnsi" w:hAnsiTheme="majorHAnsi"/>
          <w:bCs/>
          <w:lang w:eastAsia="en-GB"/>
        </w:rPr>
      </w:pPr>
      <w:r w:rsidRPr="00EA0EA9">
        <w:rPr>
          <w:rFonts w:asciiTheme="majorHAnsi" w:hAnsiTheme="majorHAnsi"/>
          <w:bCs/>
          <w:lang w:eastAsia="en-GB"/>
        </w:rPr>
        <w:lastRenderedPageBreak/>
        <w:t>Promotion and protection of the rights of children and young persons</w:t>
      </w:r>
    </w:p>
    <w:p w14:paraId="09CEB4FC" w14:textId="2D4E1DA3" w:rsidR="00713226" w:rsidRPr="00EA0EA9" w:rsidRDefault="00713226" w:rsidP="00713226">
      <w:pPr>
        <w:numPr>
          <w:ilvl w:val="0"/>
          <w:numId w:val="2"/>
        </w:numPr>
        <w:jc w:val="both"/>
        <w:rPr>
          <w:rFonts w:asciiTheme="majorHAnsi" w:hAnsiTheme="majorHAnsi"/>
          <w:bCs/>
          <w:lang w:eastAsia="en-GB"/>
        </w:rPr>
      </w:pPr>
      <w:r w:rsidRPr="00EA0EA9">
        <w:rPr>
          <w:rFonts w:asciiTheme="majorHAnsi" w:hAnsiTheme="majorHAnsi"/>
          <w:bCs/>
          <w:lang w:eastAsia="en-GB"/>
        </w:rPr>
        <w:t>Promoting and protecting the rights of vulnerable groups, incl</w:t>
      </w:r>
      <w:r w:rsidR="002132B3" w:rsidRPr="00EA0EA9">
        <w:rPr>
          <w:rFonts w:asciiTheme="majorHAnsi" w:hAnsiTheme="majorHAnsi"/>
          <w:bCs/>
          <w:lang w:eastAsia="en-GB"/>
        </w:rPr>
        <w:t xml:space="preserve">uding migrants, slum dwellers, </w:t>
      </w:r>
      <w:r w:rsidRPr="00EA0EA9">
        <w:rPr>
          <w:rFonts w:asciiTheme="majorHAnsi" w:hAnsiTheme="majorHAnsi"/>
          <w:bCs/>
          <w:lang w:eastAsia="en-GB"/>
        </w:rPr>
        <w:t xml:space="preserve">internally displaced persons and refugees  </w:t>
      </w:r>
    </w:p>
    <w:p w14:paraId="5A01D9AC" w14:textId="77777777" w:rsidR="00713226" w:rsidRPr="00EA0EA9" w:rsidRDefault="00713226" w:rsidP="00713226">
      <w:pPr>
        <w:jc w:val="both"/>
        <w:rPr>
          <w:rFonts w:asciiTheme="majorHAnsi" w:hAnsiTheme="majorHAnsi"/>
          <w:bCs/>
          <w:lang w:eastAsia="en-GB"/>
        </w:rPr>
      </w:pPr>
    </w:p>
    <w:p w14:paraId="1408892F" w14:textId="29EE4C14" w:rsidR="00713226" w:rsidRPr="00EA0EA9" w:rsidRDefault="00713226" w:rsidP="00713226">
      <w:pPr>
        <w:jc w:val="both"/>
        <w:rPr>
          <w:rFonts w:asciiTheme="majorHAnsi" w:hAnsiTheme="majorHAnsi"/>
          <w:bCs/>
          <w:lang w:eastAsia="en-GB"/>
        </w:rPr>
      </w:pPr>
      <w:r w:rsidRPr="00EA0EA9">
        <w:rPr>
          <w:rFonts w:asciiTheme="majorHAnsi" w:hAnsiTheme="majorHAnsi"/>
          <w:bCs/>
          <w:lang w:eastAsia="en-GB"/>
        </w:rPr>
        <w:t xml:space="preserve">Against the above objectives, this report examines the practice in South Africa, as identified (both explicitly and through detailed analysis) using the Busan enabling environment indicators. </w:t>
      </w:r>
      <w:r w:rsidR="000558AD" w:rsidRPr="00EA0EA9">
        <w:rPr>
          <w:rFonts w:asciiTheme="majorHAnsi" w:hAnsiTheme="majorHAnsi"/>
          <w:bCs/>
          <w:lang w:eastAsia="en-GB"/>
        </w:rPr>
        <w:t>The</w:t>
      </w:r>
      <w:r w:rsidRPr="00EA0EA9">
        <w:rPr>
          <w:rFonts w:asciiTheme="majorHAnsi" w:hAnsiTheme="majorHAnsi"/>
          <w:bCs/>
          <w:lang w:eastAsia="en-GB"/>
        </w:rPr>
        <w:t xml:space="preserve"> following specific questions are discussed towards the end of this report:</w:t>
      </w:r>
    </w:p>
    <w:p w14:paraId="2683808E" w14:textId="77777777" w:rsidR="00713226" w:rsidRPr="00EA0EA9" w:rsidRDefault="00713226" w:rsidP="00713226">
      <w:pPr>
        <w:numPr>
          <w:ilvl w:val="0"/>
          <w:numId w:val="3"/>
        </w:numPr>
        <w:jc w:val="both"/>
        <w:rPr>
          <w:rFonts w:asciiTheme="majorHAnsi" w:hAnsiTheme="majorHAnsi"/>
          <w:bCs/>
          <w:lang w:eastAsia="en-GB"/>
        </w:rPr>
      </w:pPr>
      <w:r w:rsidRPr="00EA0EA9">
        <w:rPr>
          <w:rFonts w:asciiTheme="majorHAnsi" w:hAnsiTheme="majorHAnsi"/>
          <w:bCs/>
          <w:lang w:eastAsia="en-GB"/>
        </w:rPr>
        <w:t>To what extent are the identified practices in line with the national policies as well as standards and benchmarks outlined in the Busan Partnership Principles?</w:t>
      </w:r>
    </w:p>
    <w:p w14:paraId="1DE78F12" w14:textId="512E70D3" w:rsidR="00713226" w:rsidRPr="00EA0EA9" w:rsidRDefault="00713226" w:rsidP="00713226">
      <w:pPr>
        <w:numPr>
          <w:ilvl w:val="0"/>
          <w:numId w:val="3"/>
        </w:numPr>
        <w:jc w:val="both"/>
        <w:rPr>
          <w:rFonts w:asciiTheme="majorHAnsi" w:hAnsiTheme="majorHAnsi"/>
          <w:bCs/>
          <w:lang w:eastAsia="en-GB"/>
        </w:rPr>
      </w:pPr>
      <w:r w:rsidRPr="00EA0EA9">
        <w:rPr>
          <w:rFonts w:asciiTheme="majorHAnsi" w:hAnsiTheme="majorHAnsi"/>
          <w:bCs/>
          <w:lang w:eastAsia="en-GB"/>
        </w:rPr>
        <w:t>To what extent does is South Africa adhering to the expected standards set out in terms of its own domestic laws and policies as read with international ones</w:t>
      </w:r>
      <w:r w:rsidR="000558AD" w:rsidRPr="00EA0EA9">
        <w:rPr>
          <w:rFonts w:asciiTheme="majorHAnsi" w:hAnsiTheme="majorHAnsi"/>
          <w:bCs/>
          <w:lang w:eastAsia="en-GB"/>
        </w:rPr>
        <w:t xml:space="preserve"> </w:t>
      </w:r>
      <w:r w:rsidRPr="00EA0EA9">
        <w:rPr>
          <w:rFonts w:asciiTheme="majorHAnsi" w:hAnsiTheme="majorHAnsi"/>
          <w:bCs/>
          <w:lang w:eastAsia="en-GB"/>
        </w:rPr>
        <w:t>(international treaties,</w:t>
      </w:r>
      <w:r w:rsidR="00EA0EA9" w:rsidRPr="00EA0EA9">
        <w:rPr>
          <w:rFonts w:asciiTheme="majorHAnsi" w:hAnsiTheme="majorHAnsi"/>
          <w:bCs/>
          <w:lang w:eastAsia="en-GB"/>
        </w:rPr>
        <w:t xml:space="preserve"> </w:t>
      </w:r>
      <w:r w:rsidRPr="00EA0EA9">
        <w:rPr>
          <w:rFonts w:asciiTheme="majorHAnsi" w:hAnsiTheme="majorHAnsi"/>
          <w:bCs/>
          <w:lang w:eastAsia="en-GB"/>
        </w:rPr>
        <w:t>agreements, and conventions)?</w:t>
      </w:r>
    </w:p>
    <w:p w14:paraId="576863F4" w14:textId="77777777" w:rsidR="00713226" w:rsidRPr="00EA0EA9" w:rsidRDefault="00713226" w:rsidP="00713226">
      <w:pPr>
        <w:numPr>
          <w:ilvl w:val="0"/>
          <w:numId w:val="3"/>
        </w:numPr>
        <w:jc w:val="both"/>
        <w:rPr>
          <w:rFonts w:asciiTheme="majorHAnsi" w:hAnsiTheme="majorHAnsi"/>
          <w:bCs/>
          <w:lang w:eastAsia="en-GB"/>
        </w:rPr>
      </w:pPr>
      <w:r w:rsidRPr="00EA0EA9">
        <w:rPr>
          <w:rFonts w:asciiTheme="majorHAnsi" w:hAnsiTheme="majorHAnsi"/>
          <w:bCs/>
          <w:lang w:eastAsia="en-GB"/>
        </w:rPr>
        <w:t>Are there any best practices or short-comings in the current South African laws, policies and practices? How can these be appropriately assessed, remedied or replicated to address similar or related problems in other Southern African countries?</w:t>
      </w:r>
    </w:p>
    <w:p w14:paraId="5ACF6D3E" w14:textId="77777777" w:rsidR="00E70F61" w:rsidRPr="00EA0EA9" w:rsidRDefault="009D5666" w:rsidP="009D5666">
      <w:pPr>
        <w:pStyle w:val="Heading2"/>
        <w:numPr>
          <w:ilvl w:val="1"/>
          <w:numId w:val="75"/>
        </w:numPr>
        <w:rPr>
          <w:color w:val="C00000"/>
          <w:sz w:val="28"/>
          <w:lang w:eastAsia="en-GB"/>
        </w:rPr>
      </w:pPr>
      <w:bookmarkStart w:id="5" w:name="_Toc476983571"/>
      <w:r w:rsidRPr="00EA0EA9">
        <w:rPr>
          <w:color w:val="C00000"/>
          <w:sz w:val="28"/>
          <w:lang w:eastAsia="en-GB"/>
        </w:rPr>
        <w:t>Methodology</w:t>
      </w:r>
      <w:bookmarkEnd w:id="5"/>
    </w:p>
    <w:p w14:paraId="629EC90D" w14:textId="77777777" w:rsidR="00E70F61" w:rsidRPr="00EA0EA9" w:rsidRDefault="00E70F61" w:rsidP="00E70F61">
      <w:pPr>
        <w:jc w:val="both"/>
        <w:rPr>
          <w:rFonts w:asciiTheme="majorHAnsi" w:hAnsiTheme="majorHAnsi"/>
          <w:bCs/>
          <w:lang w:eastAsia="en-GB"/>
        </w:rPr>
      </w:pPr>
      <w:r w:rsidRPr="00EA0EA9">
        <w:rPr>
          <w:rFonts w:asciiTheme="majorHAnsi" w:hAnsiTheme="majorHAnsi"/>
          <w:bCs/>
          <w:lang w:eastAsia="en-GB"/>
        </w:rPr>
        <w:t xml:space="preserve">The Report employed traditional methods of research, namely: a combination of primary and secondary research techniques (qualitative and quantitative), desk review and limited interviews, respectively. This included a literature view, Internet research, document analysis, and confirmatory interviews. The Framework for Assessing Progress on CSO Enabling Environment applied in undertaking this research is attached hereto as Annexure 1. We summarised the regulatory typologies in Annexure 2. We analysed the data gathered, triangulated the same with viva voce interviews to formulate a set of findings and recommendations. </w:t>
      </w:r>
    </w:p>
    <w:p w14:paraId="0093D649" w14:textId="77777777" w:rsidR="00E70F61" w:rsidRPr="00EA0EA9" w:rsidRDefault="00E70F61" w:rsidP="009D5666">
      <w:pPr>
        <w:pStyle w:val="Heading2"/>
        <w:numPr>
          <w:ilvl w:val="1"/>
          <w:numId w:val="75"/>
        </w:numPr>
        <w:rPr>
          <w:color w:val="C00000"/>
          <w:sz w:val="28"/>
          <w:lang w:eastAsia="en-GB"/>
        </w:rPr>
      </w:pPr>
      <w:bookmarkStart w:id="6" w:name="_Toc476983572"/>
      <w:r w:rsidRPr="00EA0EA9">
        <w:rPr>
          <w:color w:val="C00000"/>
          <w:sz w:val="28"/>
          <w:lang w:eastAsia="en-GB"/>
        </w:rPr>
        <w:t>Approach</w:t>
      </w:r>
      <w:bookmarkEnd w:id="6"/>
    </w:p>
    <w:p w14:paraId="42906AD6" w14:textId="77777777" w:rsidR="00E70F61" w:rsidRPr="00EA0EA9" w:rsidRDefault="00E70F61" w:rsidP="00E70F61">
      <w:pPr>
        <w:jc w:val="both"/>
        <w:rPr>
          <w:rFonts w:asciiTheme="majorHAnsi" w:hAnsiTheme="majorHAnsi"/>
          <w:bCs/>
          <w:lang w:eastAsia="en-GB"/>
        </w:rPr>
      </w:pPr>
      <w:r w:rsidRPr="00EA0EA9">
        <w:rPr>
          <w:rFonts w:asciiTheme="majorHAnsi" w:hAnsiTheme="majorHAnsi"/>
          <w:bCs/>
          <w:lang w:eastAsia="en-GB"/>
        </w:rPr>
        <w:t>In answering the questions and sub-questions set-out above, we have been guided by the two-fold aim of this report, namely:</w:t>
      </w:r>
    </w:p>
    <w:p w14:paraId="395F760D" w14:textId="77777777" w:rsidR="00E70F61" w:rsidRPr="00EA0EA9" w:rsidRDefault="00E70F61" w:rsidP="00E70F61">
      <w:pPr>
        <w:numPr>
          <w:ilvl w:val="0"/>
          <w:numId w:val="74"/>
        </w:numPr>
        <w:jc w:val="both"/>
        <w:rPr>
          <w:rFonts w:asciiTheme="majorHAnsi" w:hAnsiTheme="majorHAnsi"/>
          <w:bCs/>
          <w:lang w:eastAsia="en-GB"/>
        </w:rPr>
      </w:pPr>
      <w:r w:rsidRPr="00EA0EA9">
        <w:rPr>
          <w:rFonts w:asciiTheme="majorHAnsi" w:hAnsiTheme="majorHAnsi"/>
          <w:bCs/>
          <w:lang w:eastAsia="en-GB"/>
        </w:rPr>
        <w:t>To assess the structural, legal, policy space and institutional framework for the implementation of the Post Busan agenda, indicating who the main players are.</w:t>
      </w:r>
    </w:p>
    <w:p w14:paraId="1E409BA7" w14:textId="77777777" w:rsidR="00E70F61" w:rsidRPr="00EA0EA9" w:rsidRDefault="00E70F61" w:rsidP="00E70F61">
      <w:pPr>
        <w:numPr>
          <w:ilvl w:val="0"/>
          <w:numId w:val="74"/>
        </w:numPr>
        <w:jc w:val="both"/>
        <w:rPr>
          <w:rFonts w:asciiTheme="majorHAnsi" w:hAnsiTheme="majorHAnsi"/>
          <w:bCs/>
          <w:lang w:eastAsia="en-GB"/>
        </w:rPr>
      </w:pPr>
      <w:r w:rsidRPr="00EA0EA9">
        <w:rPr>
          <w:rFonts w:asciiTheme="majorHAnsi" w:hAnsiTheme="majorHAnsi"/>
          <w:bCs/>
          <w:lang w:eastAsia="en-GB"/>
        </w:rPr>
        <w:t>To propose to Reality of Aid Africa specific actions that the multi stakeholders can take to ensure that they fully utilize the opportunities for promoting an enabling environment for CSOs, including Children rights and Youth organizations in South Africa</w:t>
      </w:r>
    </w:p>
    <w:p w14:paraId="2FA021B9" w14:textId="77777777" w:rsidR="00E70F61" w:rsidRPr="00EA0EA9" w:rsidRDefault="00E70F61" w:rsidP="00E70F61">
      <w:pPr>
        <w:jc w:val="both"/>
        <w:rPr>
          <w:rFonts w:asciiTheme="majorHAnsi" w:hAnsiTheme="majorHAnsi"/>
          <w:bCs/>
          <w:lang w:eastAsia="en-GB"/>
        </w:rPr>
      </w:pPr>
      <w:r w:rsidRPr="00EA0EA9">
        <w:rPr>
          <w:rFonts w:asciiTheme="majorHAnsi" w:hAnsiTheme="majorHAnsi"/>
          <w:bCs/>
          <w:lang w:eastAsia="en-GB"/>
        </w:rPr>
        <w:t xml:space="preserve">More specifically, this paper seeks to do five (5) things simultaneously, namely: </w:t>
      </w:r>
    </w:p>
    <w:p w14:paraId="2D3A77B2" w14:textId="77777777" w:rsidR="00E70F61" w:rsidRPr="00EA0EA9" w:rsidRDefault="00E70F61" w:rsidP="00E70F61">
      <w:pPr>
        <w:numPr>
          <w:ilvl w:val="0"/>
          <w:numId w:val="5"/>
        </w:numPr>
        <w:jc w:val="both"/>
        <w:rPr>
          <w:rFonts w:asciiTheme="majorHAnsi" w:hAnsiTheme="majorHAnsi"/>
          <w:bCs/>
          <w:lang w:eastAsia="en-GB"/>
        </w:rPr>
      </w:pPr>
      <w:r w:rsidRPr="00EA0EA9">
        <w:rPr>
          <w:rFonts w:asciiTheme="majorHAnsi" w:hAnsiTheme="majorHAnsi"/>
          <w:bCs/>
          <w:lang w:eastAsia="en-GB"/>
        </w:rPr>
        <w:t xml:space="preserve">Identify challenges to the promotion and protection of the rights of the child; </w:t>
      </w:r>
    </w:p>
    <w:p w14:paraId="370EB810" w14:textId="77777777" w:rsidR="00E70F61" w:rsidRPr="00EA0EA9" w:rsidRDefault="00E70F61" w:rsidP="00E70F61">
      <w:pPr>
        <w:numPr>
          <w:ilvl w:val="0"/>
          <w:numId w:val="5"/>
        </w:numPr>
        <w:jc w:val="both"/>
        <w:rPr>
          <w:rFonts w:asciiTheme="majorHAnsi" w:hAnsiTheme="majorHAnsi"/>
          <w:bCs/>
          <w:lang w:eastAsia="en-GB"/>
        </w:rPr>
      </w:pPr>
      <w:r w:rsidRPr="00EA0EA9">
        <w:rPr>
          <w:rFonts w:asciiTheme="majorHAnsi" w:hAnsiTheme="majorHAnsi"/>
          <w:bCs/>
          <w:lang w:eastAsia="en-GB"/>
        </w:rPr>
        <w:t>Explore the adequacy of redress mechanism;</w:t>
      </w:r>
    </w:p>
    <w:p w14:paraId="4AB813D4" w14:textId="77777777" w:rsidR="00E70F61" w:rsidRPr="00EA0EA9" w:rsidRDefault="00E70F61" w:rsidP="00E70F61">
      <w:pPr>
        <w:numPr>
          <w:ilvl w:val="0"/>
          <w:numId w:val="5"/>
        </w:numPr>
        <w:jc w:val="both"/>
        <w:rPr>
          <w:rFonts w:asciiTheme="majorHAnsi" w:hAnsiTheme="majorHAnsi"/>
          <w:bCs/>
          <w:lang w:eastAsia="en-GB"/>
        </w:rPr>
      </w:pPr>
      <w:r w:rsidRPr="00EA0EA9">
        <w:rPr>
          <w:rFonts w:asciiTheme="majorHAnsi" w:hAnsiTheme="majorHAnsi"/>
          <w:bCs/>
          <w:lang w:eastAsia="en-GB"/>
        </w:rPr>
        <w:t>Locate child rights and child rights organization within the broader discussion of civil society in South Africa;</w:t>
      </w:r>
    </w:p>
    <w:p w14:paraId="12DD99F0" w14:textId="77777777" w:rsidR="00E70F61" w:rsidRPr="00EA0EA9" w:rsidRDefault="00E70F61" w:rsidP="00E70F61">
      <w:pPr>
        <w:numPr>
          <w:ilvl w:val="0"/>
          <w:numId w:val="5"/>
        </w:numPr>
        <w:jc w:val="both"/>
        <w:rPr>
          <w:rFonts w:asciiTheme="majorHAnsi" w:hAnsiTheme="majorHAnsi"/>
          <w:bCs/>
          <w:lang w:eastAsia="en-GB"/>
        </w:rPr>
      </w:pPr>
      <w:proofErr w:type="spellStart"/>
      <w:r w:rsidRPr="00EA0EA9">
        <w:rPr>
          <w:rFonts w:asciiTheme="majorHAnsi" w:hAnsiTheme="majorHAnsi"/>
          <w:bCs/>
          <w:lang w:eastAsia="en-GB"/>
        </w:rPr>
        <w:t>Analyze</w:t>
      </w:r>
      <w:proofErr w:type="spellEnd"/>
      <w:r w:rsidRPr="00EA0EA9">
        <w:rPr>
          <w:rFonts w:asciiTheme="majorHAnsi" w:hAnsiTheme="majorHAnsi"/>
          <w:bCs/>
          <w:lang w:eastAsia="en-GB"/>
        </w:rPr>
        <w:t xml:space="preserve"> the regulatory, legislative and policy context for the operational of Non-Profit Organizations or Public Benefit </w:t>
      </w:r>
      <w:proofErr w:type="gramStart"/>
      <w:r w:rsidRPr="00EA0EA9">
        <w:rPr>
          <w:rFonts w:asciiTheme="majorHAnsi" w:hAnsiTheme="majorHAnsi"/>
          <w:bCs/>
          <w:lang w:eastAsia="en-GB"/>
        </w:rPr>
        <w:t>Organizations(</w:t>
      </w:r>
      <w:proofErr w:type="gramEnd"/>
      <w:r w:rsidRPr="00EA0EA9">
        <w:rPr>
          <w:rFonts w:asciiTheme="majorHAnsi" w:hAnsiTheme="majorHAnsi"/>
          <w:bCs/>
          <w:lang w:eastAsia="en-GB"/>
        </w:rPr>
        <w:t>NPOs/PBOs);</w:t>
      </w:r>
    </w:p>
    <w:p w14:paraId="5A675192" w14:textId="77777777" w:rsidR="00E70F61" w:rsidRPr="00EA0EA9" w:rsidRDefault="00E70F61" w:rsidP="00E70F61">
      <w:pPr>
        <w:numPr>
          <w:ilvl w:val="0"/>
          <w:numId w:val="5"/>
        </w:numPr>
        <w:jc w:val="both"/>
        <w:rPr>
          <w:rFonts w:asciiTheme="majorHAnsi" w:hAnsiTheme="majorHAnsi"/>
          <w:bCs/>
          <w:lang w:eastAsia="en-GB"/>
        </w:rPr>
      </w:pPr>
      <w:r w:rsidRPr="00EA0EA9">
        <w:rPr>
          <w:rFonts w:asciiTheme="majorHAnsi" w:hAnsiTheme="majorHAnsi"/>
          <w:bCs/>
          <w:lang w:eastAsia="en-GB"/>
        </w:rPr>
        <w:t>Draw specific conclusions on the enabling environment and propose areas for strengthening;</w:t>
      </w:r>
    </w:p>
    <w:p w14:paraId="48B12F85" w14:textId="77777777" w:rsidR="00E70F61" w:rsidRPr="00EA0EA9" w:rsidRDefault="00E70F61" w:rsidP="00E70F61">
      <w:pPr>
        <w:jc w:val="both"/>
        <w:rPr>
          <w:rFonts w:asciiTheme="majorHAnsi" w:hAnsiTheme="majorHAnsi"/>
          <w:bCs/>
          <w:lang w:eastAsia="en-GB"/>
        </w:rPr>
      </w:pPr>
    </w:p>
    <w:p w14:paraId="5078E738" w14:textId="77777777" w:rsidR="00E70F61" w:rsidRPr="00EA0EA9" w:rsidRDefault="00E70F61" w:rsidP="00E70F61">
      <w:pPr>
        <w:jc w:val="both"/>
        <w:rPr>
          <w:rFonts w:asciiTheme="majorHAnsi" w:hAnsiTheme="majorHAnsi"/>
          <w:lang w:eastAsia="en-GB"/>
        </w:rPr>
      </w:pPr>
      <w:r w:rsidRPr="00EA0EA9">
        <w:rPr>
          <w:rFonts w:asciiTheme="majorHAnsi" w:hAnsiTheme="majorHAnsi"/>
          <w:bCs/>
          <w:lang w:eastAsia="en-GB"/>
        </w:rPr>
        <w:lastRenderedPageBreak/>
        <w:t>Furthermore, this complex task is situated within the broader political economy of development governance and civil society in South Africa. We have situated the report within the Busan CSO enabling environment framework.</w:t>
      </w:r>
    </w:p>
    <w:p w14:paraId="494B2A62" w14:textId="77777777" w:rsidR="00256CB2" w:rsidRPr="00EA0EA9" w:rsidRDefault="00256CB2" w:rsidP="00216FAF">
      <w:pPr>
        <w:jc w:val="both"/>
        <w:rPr>
          <w:rFonts w:asciiTheme="majorHAnsi" w:hAnsiTheme="majorHAnsi"/>
          <w:lang w:eastAsia="en-GB"/>
        </w:rPr>
      </w:pPr>
    </w:p>
    <w:p w14:paraId="63A5BFAD" w14:textId="77777777" w:rsidR="00C64A59" w:rsidRPr="00EA0EA9" w:rsidRDefault="00C64A59" w:rsidP="00D54F26">
      <w:pPr>
        <w:pStyle w:val="Heading1"/>
        <w:numPr>
          <w:ilvl w:val="0"/>
          <w:numId w:val="75"/>
        </w:numPr>
        <w:rPr>
          <w:color w:val="0000FF"/>
          <w:sz w:val="32"/>
          <w:lang w:eastAsia="en-GB"/>
        </w:rPr>
      </w:pPr>
      <w:bookmarkStart w:id="7" w:name="_Toc476983573"/>
      <w:r w:rsidRPr="00EA0EA9">
        <w:rPr>
          <w:color w:val="0000FF"/>
          <w:sz w:val="32"/>
          <w:lang w:eastAsia="en-GB"/>
        </w:rPr>
        <w:t>Busan Principles</w:t>
      </w:r>
      <w:bookmarkEnd w:id="7"/>
    </w:p>
    <w:p w14:paraId="68B73406" w14:textId="77777777" w:rsidR="000F4E79" w:rsidRPr="00EA0EA9" w:rsidRDefault="000F4E79" w:rsidP="000F4E79">
      <w:pPr>
        <w:pStyle w:val="Heading2"/>
        <w:numPr>
          <w:ilvl w:val="1"/>
          <w:numId w:val="75"/>
        </w:numPr>
        <w:rPr>
          <w:color w:val="C00000"/>
          <w:sz w:val="28"/>
          <w:szCs w:val="28"/>
          <w:lang w:eastAsia="en-GB"/>
        </w:rPr>
      </w:pPr>
      <w:bookmarkStart w:id="8" w:name="_Toc476983574"/>
      <w:r w:rsidRPr="00EA0EA9">
        <w:rPr>
          <w:color w:val="C00000"/>
          <w:sz w:val="28"/>
          <w:szCs w:val="28"/>
          <w:lang w:eastAsia="en-GB"/>
        </w:rPr>
        <w:t>Context</w:t>
      </w:r>
      <w:bookmarkEnd w:id="8"/>
    </w:p>
    <w:p w14:paraId="5753C4C3" w14:textId="71A0E0DB" w:rsidR="00C64A59" w:rsidRPr="00EA0EA9" w:rsidRDefault="00C64A59" w:rsidP="00B647C0">
      <w:pPr>
        <w:spacing w:line="276" w:lineRule="auto"/>
        <w:jc w:val="both"/>
        <w:rPr>
          <w:rFonts w:asciiTheme="majorHAnsi" w:hAnsiTheme="majorHAnsi"/>
          <w:bCs/>
          <w:lang w:eastAsia="en-GB"/>
        </w:rPr>
      </w:pPr>
      <w:r w:rsidRPr="00EA0EA9">
        <w:rPr>
          <w:rFonts w:asciiTheme="majorHAnsi" w:hAnsiTheme="majorHAnsi"/>
          <w:bCs/>
          <w:lang w:eastAsia="en-GB"/>
        </w:rPr>
        <w:t>The general trends identified by this report as well as the recommendations are intended to promote the full enjoyment of all rights in the Convention on the Rights of the Child by all children; through legislation, the establishment of coordinating and monitoring bodies</w:t>
      </w:r>
      <w:r w:rsidR="008324CC">
        <w:rPr>
          <w:rFonts w:asciiTheme="majorHAnsi" w:hAnsiTheme="majorHAnsi"/>
          <w:bCs/>
          <w:lang w:eastAsia="en-GB"/>
        </w:rPr>
        <w:t>- governmental and independent-</w:t>
      </w:r>
      <w:r w:rsidRPr="00EA0EA9">
        <w:rPr>
          <w:rFonts w:asciiTheme="majorHAnsi" w:hAnsiTheme="majorHAnsi"/>
          <w:bCs/>
          <w:lang w:eastAsia="en-GB"/>
        </w:rPr>
        <w:t>comprehensive data collection, awareness-raising, training and development, and implementation of appropriate policies, services and programmes</w:t>
      </w:r>
      <w:r w:rsidRPr="00EA0EA9">
        <w:rPr>
          <w:rFonts w:asciiTheme="majorHAnsi" w:hAnsiTheme="majorHAnsi"/>
          <w:bCs/>
          <w:vertAlign w:val="superscript"/>
          <w:lang w:eastAsia="en-GB"/>
        </w:rPr>
        <w:footnoteReference w:id="2"/>
      </w:r>
      <w:r w:rsidRPr="00EA0EA9">
        <w:rPr>
          <w:rFonts w:asciiTheme="majorHAnsi" w:hAnsiTheme="majorHAnsi"/>
          <w:bCs/>
          <w:lang w:eastAsia="en-GB"/>
        </w:rPr>
        <w:t xml:space="preserve">. To this limited extent, the report views these factors as constituting what </w:t>
      </w:r>
      <w:proofErr w:type="gramStart"/>
      <w:r w:rsidRPr="00EA0EA9">
        <w:rPr>
          <w:rFonts w:asciiTheme="majorHAnsi" w:hAnsiTheme="majorHAnsi"/>
          <w:bCs/>
          <w:lang w:eastAsia="en-GB"/>
        </w:rPr>
        <w:t>it</w:t>
      </w:r>
      <w:proofErr w:type="gramEnd"/>
      <w:r w:rsidRPr="00EA0EA9">
        <w:rPr>
          <w:rFonts w:asciiTheme="majorHAnsi" w:hAnsiTheme="majorHAnsi"/>
          <w:bCs/>
          <w:lang w:eastAsia="en-GB"/>
        </w:rPr>
        <w:t xml:space="preserve"> terms ‘enabling environment’. The concept has a long history, but was most recently reinserted at the centre of international dialogue on development effectiveness through the Paris Declaration on Aid Effectiveness and the Busan Partnership agreement. The Paris Declaration and Accra Agenda for Action (AAA) defined principles and established commitments that have contributed to improving the quality of aid. However, as the 2011 Survey on Monitoring the Implementation of the Paris Declaration showed, there remained much to be done in order to fully put these principles into practice. </w:t>
      </w:r>
    </w:p>
    <w:p w14:paraId="43B04CF9" w14:textId="77777777" w:rsidR="00C64A59" w:rsidRPr="00EA0EA9" w:rsidRDefault="00C64A59" w:rsidP="00B647C0">
      <w:pPr>
        <w:spacing w:line="276" w:lineRule="auto"/>
        <w:jc w:val="both"/>
        <w:rPr>
          <w:rFonts w:asciiTheme="majorHAnsi" w:hAnsiTheme="majorHAnsi"/>
          <w:bCs/>
          <w:lang w:eastAsia="en-GB"/>
        </w:rPr>
      </w:pPr>
    </w:p>
    <w:p w14:paraId="5D85C805" w14:textId="16C62609" w:rsidR="00C64A59" w:rsidRPr="00EA0EA9" w:rsidRDefault="00C64A59" w:rsidP="00B647C0">
      <w:pPr>
        <w:spacing w:line="276" w:lineRule="auto"/>
        <w:jc w:val="both"/>
        <w:rPr>
          <w:rFonts w:asciiTheme="majorHAnsi" w:hAnsiTheme="majorHAnsi"/>
          <w:bCs/>
          <w:lang w:eastAsia="en-GB"/>
        </w:rPr>
      </w:pPr>
      <w:r w:rsidRPr="00EA0EA9">
        <w:rPr>
          <w:rFonts w:asciiTheme="majorHAnsi" w:hAnsiTheme="majorHAnsi"/>
          <w:bCs/>
          <w:lang w:eastAsia="en-GB"/>
        </w:rPr>
        <w:t xml:space="preserve">Owing to, amongst other things, the global economic, fuel and food crises that started in 2008, the international socio-economic climate had markedly changed since the 2005 Paris Declaration for Aid Effectiveness (PDAE). International co-operation had long transitioned from the classical relationship between “rich” and “poor” governments. With the emergence of Brazil, Russia, India, China and South Africa (BRICS), international partnership had evidently evolved into a complex network that included some middle-income countries that are donors and recipients (South-South </w:t>
      </w:r>
      <w:proofErr w:type="spellStart"/>
      <w:r w:rsidRPr="00EA0EA9">
        <w:rPr>
          <w:rFonts w:asciiTheme="majorHAnsi" w:hAnsiTheme="majorHAnsi"/>
          <w:bCs/>
          <w:lang w:eastAsia="en-GB"/>
        </w:rPr>
        <w:t>co- operation</w:t>
      </w:r>
      <w:proofErr w:type="spellEnd"/>
      <w:r w:rsidRPr="00EA0EA9">
        <w:rPr>
          <w:rFonts w:asciiTheme="majorHAnsi" w:hAnsiTheme="majorHAnsi"/>
          <w:bCs/>
          <w:lang w:eastAsia="en-GB"/>
        </w:rPr>
        <w:t>), multilateral organisations, international financial institutions, and non-governmental bodies such as the private sector and civil society organisations. As a result, international development needed to open up to the wider development context; one that also takes into consideration the role of the private sector, the fight against corruption, preventing tax evasion and illicit financial flows. Illicit Financial flows and corruption accounted for the biggest losses to developing countries’ domestic resources.</w:t>
      </w:r>
    </w:p>
    <w:p w14:paraId="7057404E" w14:textId="77777777" w:rsidR="00C64A59" w:rsidRPr="00EA0EA9" w:rsidRDefault="00C64A59" w:rsidP="00B647C0">
      <w:pPr>
        <w:spacing w:line="276" w:lineRule="auto"/>
        <w:jc w:val="both"/>
        <w:rPr>
          <w:rFonts w:asciiTheme="majorHAnsi" w:hAnsiTheme="majorHAnsi"/>
          <w:bCs/>
          <w:lang w:eastAsia="en-GB"/>
        </w:rPr>
      </w:pPr>
    </w:p>
    <w:p w14:paraId="5E4ADE08" w14:textId="77777777" w:rsidR="00C64A59" w:rsidRPr="00EA0EA9" w:rsidRDefault="00C64A59" w:rsidP="00B647C0">
      <w:pPr>
        <w:spacing w:line="276" w:lineRule="auto"/>
        <w:jc w:val="both"/>
        <w:rPr>
          <w:rFonts w:asciiTheme="majorHAnsi" w:hAnsiTheme="majorHAnsi"/>
          <w:bCs/>
          <w:lang w:eastAsia="en-GB"/>
        </w:rPr>
      </w:pPr>
      <w:r w:rsidRPr="00EA0EA9">
        <w:rPr>
          <w:rFonts w:asciiTheme="majorHAnsi" w:hAnsiTheme="majorHAnsi"/>
          <w:bCs/>
          <w:lang w:eastAsia="en-GB"/>
        </w:rPr>
        <w:t xml:space="preserve">The Fourth High-Level Forum on Aid Effectiveness dubbed the Busan Partnership for Effective Development Co-operation (HLF4) - took place in Busan, Korea in 2011. It aimed both to evaluate progress already made towards achieving more effective aid, and to define an agenda for the future. In the period immediately preceding the 2011 Busan meeting, the increasingly prominent role played by emerging economies, and the </w:t>
      </w:r>
      <w:r w:rsidRPr="00EA0EA9">
        <w:rPr>
          <w:rFonts w:asciiTheme="majorHAnsi" w:hAnsiTheme="majorHAnsi"/>
          <w:bCs/>
          <w:lang w:eastAsia="en-GB"/>
        </w:rPr>
        <w:lastRenderedPageBreak/>
        <w:t>diversification of development co-operation flows all meant that there was need for a wider perspective and approach. The HLF4 specifically recognised the fundamental contribution of South-South and triangular co-operation to sustainable development. This type of Co-operation goes beyond financial cooperation. The “Busan Partnership for Effective Development Co-operation” was adopted by over 160 countries and around 50 other organisations. The partnership marked a significant shift in international development co-operation. It is based on some specific shared principles to achieve common goals applicable to all development actors that are key to making development cooperation effective. Some of the key principles are:</w:t>
      </w:r>
    </w:p>
    <w:p w14:paraId="7934AFBF" w14:textId="77777777" w:rsidR="00C64A59" w:rsidRPr="00EA0EA9" w:rsidRDefault="00C64A59" w:rsidP="00B647C0">
      <w:pPr>
        <w:numPr>
          <w:ilvl w:val="0"/>
          <w:numId w:val="8"/>
        </w:numPr>
        <w:spacing w:line="276" w:lineRule="auto"/>
        <w:jc w:val="both"/>
        <w:rPr>
          <w:rFonts w:asciiTheme="majorHAnsi" w:hAnsiTheme="majorHAnsi"/>
          <w:bCs/>
          <w:lang w:eastAsia="en-GB"/>
        </w:rPr>
      </w:pPr>
      <w:r w:rsidRPr="00EA0EA9">
        <w:rPr>
          <w:rFonts w:asciiTheme="majorHAnsi" w:hAnsiTheme="majorHAnsi"/>
          <w:bCs/>
          <w:lang w:eastAsia="en-GB"/>
        </w:rPr>
        <w:t xml:space="preserve">Ownership of development priorities by developing counties: Countries should define the development model that they want to implement. </w:t>
      </w:r>
    </w:p>
    <w:p w14:paraId="7547203B" w14:textId="77777777" w:rsidR="00C64A59" w:rsidRPr="00EA0EA9" w:rsidRDefault="00C64A59" w:rsidP="00B647C0">
      <w:pPr>
        <w:numPr>
          <w:ilvl w:val="0"/>
          <w:numId w:val="8"/>
        </w:numPr>
        <w:spacing w:line="276" w:lineRule="auto"/>
        <w:jc w:val="both"/>
        <w:rPr>
          <w:rFonts w:asciiTheme="majorHAnsi" w:hAnsiTheme="majorHAnsi"/>
          <w:bCs/>
          <w:lang w:eastAsia="en-GB"/>
        </w:rPr>
      </w:pPr>
      <w:r w:rsidRPr="00EA0EA9">
        <w:rPr>
          <w:rFonts w:asciiTheme="majorHAnsi" w:hAnsiTheme="majorHAnsi"/>
          <w:bCs/>
          <w:lang w:eastAsia="en-GB"/>
        </w:rPr>
        <w:t xml:space="preserve">A focus on results: Having a sustainable impact should be the driving force behind investments and efforts in development policy making </w:t>
      </w:r>
    </w:p>
    <w:p w14:paraId="44AC5C5D" w14:textId="77777777" w:rsidR="00C64A59" w:rsidRPr="00EA0EA9" w:rsidRDefault="00C64A59" w:rsidP="00B647C0">
      <w:pPr>
        <w:numPr>
          <w:ilvl w:val="0"/>
          <w:numId w:val="8"/>
        </w:numPr>
        <w:spacing w:line="276" w:lineRule="auto"/>
        <w:jc w:val="both"/>
        <w:rPr>
          <w:rFonts w:asciiTheme="majorHAnsi" w:hAnsiTheme="majorHAnsi"/>
          <w:bCs/>
          <w:lang w:eastAsia="en-GB"/>
        </w:rPr>
      </w:pPr>
      <w:r w:rsidRPr="00EA0EA9">
        <w:rPr>
          <w:rFonts w:asciiTheme="majorHAnsi" w:hAnsiTheme="majorHAnsi"/>
          <w:bCs/>
          <w:lang w:eastAsia="en-GB"/>
        </w:rPr>
        <w:t xml:space="preserve">Partnerships for development: Development depends on the participation of all actors, and recognises the diversity and complementarity of their functions. </w:t>
      </w:r>
    </w:p>
    <w:p w14:paraId="2360290A" w14:textId="4998B6CB" w:rsidR="00C64A59" w:rsidRPr="00EA0EA9" w:rsidRDefault="00C64A59" w:rsidP="00B647C0">
      <w:pPr>
        <w:numPr>
          <w:ilvl w:val="0"/>
          <w:numId w:val="8"/>
        </w:numPr>
        <w:spacing w:line="276" w:lineRule="auto"/>
        <w:jc w:val="both"/>
        <w:rPr>
          <w:rFonts w:asciiTheme="majorHAnsi" w:hAnsiTheme="majorHAnsi"/>
          <w:bCs/>
          <w:lang w:eastAsia="en-GB"/>
        </w:rPr>
      </w:pPr>
      <w:r w:rsidRPr="00EA0EA9">
        <w:rPr>
          <w:rFonts w:asciiTheme="majorHAnsi" w:hAnsiTheme="majorHAnsi"/>
          <w:bCs/>
          <w:lang w:eastAsia="en-GB"/>
        </w:rPr>
        <w:t xml:space="preserve">Transparency and shared responsibility: Development co-operation must be transparent and accountable to all citizens </w:t>
      </w:r>
    </w:p>
    <w:p w14:paraId="3B132286" w14:textId="77777777" w:rsidR="00C64A59" w:rsidRPr="00EA0EA9" w:rsidRDefault="00C64A59" w:rsidP="00B647C0">
      <w:pPr>
        <w:spacing w:line="276" w:lineRule="auto"/>
        <w:jc w:val="both"/>
        <w:rPr>
          <w:rFonts w:asciiTheme="majorHAnsi" w:hAnsiTheme="majorHAnsi"/>
          <w:bCs/>
          <w:lang w:eastAsia="en-GB"/>
        </w:rPr>
      </w:pPr>
    </w:p>
    <w:p w14:paraId="682049DE" w14:textId="77777777" w:rsidR="00C64A59" w:rsidRPr="00EA0EA9" w:rsidRDefault="00C64A59" w:rsidP="00B647C0">
      <w:pPr>
        <w:spacing w:line="276" w:lineRule="auto"/>
        <w:jc w:val="both"/>
        <w:rPr>
          <w:rFonts w:asciiTheme="majorHAnsi" w:hAnsiTheme="majorHAnsi"/>
          <w:bCs/>
          <w:lang w:eastAsia="en-GB"/>
        </w:rPr>
      </w:pPr>
      <w:r w:rsidRPr="00EA0EA9">
        <w:rPr>
          <w:rFonts w:asciiTheme="majorHAnsi" w:hAnsiTheme="majorHAnsi"/>
          <w:bCs/>
          <w:lang w:eastAsia="en-GB"/>
        </w:rPr>
        <w:t xml:space="preserve">These principles are recognised and accepted by all those involved in development co-operation, from donor and recipient country governments to providers of south-south cooperation, international organisations, civil society, parliamentarians and local government. The wide participation of a range of actors with differentiated responsibilities and shared goals is one of the notable characteristics of the Busan partnership. HLF4 went further than simply reiterating commitments to the Paris Declaration and Accra Agenda for Action; it outlined a set of concrete action points to accelerate the implementation of these commitments, such as: </w:t>
      </w:r>
    </w:p>
    <w:p w14:paraId="39BEA5A9" w14:textId="77777777" w:rsidR="00C64A59" w:rsidRPr="00EA0EA9" w:rsidRDefault="00C64A59" w:rsidP="00B647C0">
      <w:pPr>
        <w:numPr>
          <w:ilvl w:val="0"/>
          <w:numId w:val="9"/>
        </w:numPr>
        <w:spacing w:line="276" w:lineRule="auto"/>
        <w:jc w:val="both"/>
        <w:rPr>
          <w:rFonts w:asciiTheme="majorHAnsi" w:hAnsiTheme="majorHAnsi"/>
          <w:bCs/>
          <w:lang w:eastAsia="en-GB"/>
        </w:rPr>
      </w:pPr>
      <w:r w:rsidRPr="00EA0EA9">
        <w:rPr>
          <w:rFonts w:asciiTheme="majorHAnsi" w:hAnsiTheme="majorHAnsi"/>
          <w:bCs/>
          <w:lang w:eastAsia="en-GB"/>
        </w:rPr>
        <w:t>Using results frameworks designed with the needs of the partner country in mind as a common tool, and using country-led co- ordination arrangements;</w:t>
      </w:r>
    </w:p>
    <w:p w14:paraId="61E62054" w14:textId="77777777" w:rsidR="00C64A59" w:rsidRPr="00EA0EA9" w:rsidRDefault="00C64A59" w:rsidP="00B647C0">
      <w:pPr>
        <w:numPr>
          <w:ilvl w:val="0"/>
          <w:numId w:val="9"/>
        </w:numPr>
        <w:spacing w:line="276" w:lineRule="auto"/>
        <w:jc w:val="both"/>
        <w:rPr>
          <w:rFonts w:asciiTheme="majorHAnsi" w:hAnsiTheme="majorHAnsi"/>
          <w:bCs/>
          <w:lang w:eastAsia="en-GB"/>
        </w:rPr>
      </w:pPr>
      <w:r w:rsidRPr="00EA0EA9">
        <w:rPr>
          <w:rFonts w:asciiTheme="majorHAnsi" w:hAnsiTheme="majorHAnsi"/>
          <w:bCs/>
          <w:lang w:eastAsia="en-GB"/>
        </w:rPr>
        <w:t>Untying aid to the maximum extent possible;</w:t>
      </w:r>
    </w:p>
    <w:p w14:paraId="547331D9" w14:textId="77777777" w:rsidR="00C64A59" w:rsidRPr="00EA0EA9" w:rsidRDefault="00C64A59" w:rsidP="00B647C0">
      <w:pPr>
        <w:numPr>
          <w:ilvl w:val="0"/>
          <w:numId w:val="9"/>
        </w:numPr>
        <w:spacing w:line="276" w:lineRule="auto"/>
        <w:jc w:val="both"/>
        <w:rPr>
          <w:rFonts w:asciiTheme="majorHAnsi" w:hAnsiTheme="majorHAnsi"/>
          <w:bCs/>
          <w:lang w:eastAsia="en-GB"/>
        </w:rPr>
      </w:pPr>
      <w:r w:rsidRPr="00EA0EA9">
        <w:rPr>
          <w:rFonts w:asciiTheme="majorHAnsi" w:hAnsiTheme="majorHAnsi"/>
          <w:bCs/>
          <w:lang w:eastAsia="en-GB"/>
        </w:rPr>
        <w:t>Use of country public financial management systems as the default option for development financing, and support the strengthening of these systems where necessary;</w:t>
      </w:r>
    </w:p>
    <w:p w14:paraId="624C2AEC" w14:textId="77777777" w:rsidR="00C64A59" w:rsidRPr="00EA0EA9" w:rsidRDefault="00C64A59" w:rsidP="00B647C0">
      <w:pPr>
        <w:numPr>
          <w:ilvl w:val="0"/>
          <w:numId w:val="9"/>
        </w:numPr>
        <w:spacing w:line="276" w:lineRule="auto"/>
        <w:jc w:val="both"/>
        <w:rPr>
          <w:rFonts w:asciiTheme="majorHAnsi" w:hAnsiTheme="majorHAnsi"/>
          <w:bCs/>
          <w:lang w:eastAsia="en-GB"/>
        </w:rPr>
      </w:pPr>
      <w:r w:rsidRPr="00EA0EA9">
        <w:rPr>
          <w:rFonts w:asciiTheme="majorHAnsi" w:hAnsiTheme="majorHAnsi"/>
          <w:bCs/>
          <w:lang w:eastAsia="en-GB"/>
        </w:rPr>
        <w:t>Strengthening transparency and approving a common standard for the electronic publication of data on development co-operation, to be fully implemented by 2015;</w:t>
      </w:r>
    </w:p>
    <w:p w14:paraId="1F177874" w14:textId="77777777" w:rsidR="00C64A59" w:rsidRPr="00EA0EA9" w:rsidRDefault="00C64A59" w:rsidP="00B647C0">
      <w:pPr>
        <w:numPr>
          <w:ilvl w:val="0"/>
          <w:numId w:val="9"/>
        </w:numPr>
        <w:spacing w:line="276" w:lineRule="auto"/>
        <w:jc w:val="both"/>
        <w:rPr>
          <w:rFonts w:asciiTheme="majorHAnsi" w:hAnsiTheme="majorHAnsi"/>
          <w:bCs/>
          <w:lang w:eastAsia="en-GB"/>
        </w:rPr>
      </w:pPr>
      <w:r w:rsidRPr="00EA0EA9">
        <w:rPr>
          <w:rFonts w:asciiTheme="majorHAnsi" w:hAnsiTheme="majorHAnsi"/>
          <w:bCs/>
          <w:lang w:eastAsia="en-GB"/>
        </w:rPr>
        <w:t>In 2012, establish common principles to prevent the proliferation of multilateral organisation and global programmes and funds, also in 2012 establish common principles to tackle the issue of countries that receive insufficient assistance (aid orphans);</w:t>
      </w:r>
    </w:p>
    <w:p w14:paraId="6274B003" w14:textId="77777777" w:rsidR="00C64A59" w:rsidRPr="00EA0EA9" w:rsidRDefault="00C64A59" w:rsidP="00B647C0">
      <w:pPr>
        <w:numPr>
          <w:ilvl w:val="0"/>
          <w:numId w:val="9"/>
        </w:numPr>
        <w:spacing w:line="276" w:lineRule="auto"/>
        <w:jc w:val="both"/>
        <w:rPr>
          <w:rFonts w:asciiTheme="majorHAnsi" w:hAnsiTheme="majorHAnsi"/>
          <w:bCs/>
          <w:lang w:eastAsia="en-GB"/>
        </w:rPr>
      </w:pPr>
      <w:r w:rsidRPr="00EA0EA9">
        <w:rPr>
          <w:rFonts w:asciiTheme="majorHAnsi" w:hAnsiTheme="majorHAnsi"/>
          <w:bCs/>
          <w:lang w:eastAsia="en-GB"/>
        </w:rPr>
        <w:t>By 2013, provide recipient countries with regular, timely, indicative three-to-five-year forward expenditure plans. Increase support given to parliaments and local governments in carrying out their functions;</w:t>
      </w:r>
    </w:p>
    <w:p w14:paraId="319153EF" w14:textId="77777777" w:rsidR="00C64A59" w:rsidRPr="00EA0EA9" w:rsidRDefault="00C64A59" w:rsidP="00B647C0">
      <w:pPr>
        <w:numPr>
          <w:ilvl w:val="0"/>
          <w:numId w:val="9"/>
        </w:numPr>
        <w:spacing w:line="276" w:lineRule="auto"/>
        <w:jc w:val="both"/>
        <w:rPr>
          <w:rFonts w:asciiTheme="majorHAnsi" w:hAnsiTheme="majorHAnsi"/>
          <w:bCs/>
          <w:lang w:eastAsia="en-GB"/>
        </w:rPr>
      </w:pPr>
      <w:r w:rsidRPr="00EA0EA9">
        <w:rPr>
          <w:rFonts w:asciiTheme="majorHAnsi" w:hAnsiTheme="majorHAnsi"/>
          <w:bCs/>
          <w:lang w:eastAsia="en-GB"/>
        </w:rPr>
        <w:lastRenderedPageBreak/>
        <w:t>Foster an environment for civil society organisations as independent development actors.</w:t>
      </w:r>
    </w:p>
    <w:p w14:paraId="2F4DC06E" w14:textId="77777777" w:rsidR="00C64A59" w:rsidRPr="00EA0EA9" w:rsidRDefault="00C64A59" w:rsidP="00B647C0">
      <w:pPr>
        <w:numPr>
          <w:ilvl w:val="0"/>
          <w:numId w:val="9"/>
        </w:numPr>
        <w:spacing w:line="276" w:lineRule="auto"/>
        <w:jc w:val="both"/>
        <w:rPr>
          <w:rFonts w:asciiTheme="majorHAnsi" w:hAnsiTheme="majorHAnsi"/>
          <w:bCs/>
          <w:lang w:eastAsia="en-GB"/>
        </w:rPr>
      </w:pPr>
      <w:r w:rsidRPr="00EA0EA9">
        <w:rPr>
          <w:rFonts w:asciiTheme="majorHAnsi" w:hAnsiTheme="majorHAnsi"/>
          <w:bCs/>
          <w:lang w:eastAsia="en-GB"/>
        </w:rPr>
        <w:t xml:space="preserve">Guiding public policy making and improving support for promoting sustainable development in situations of conflict and fragility and strengthening resilience to disasters. </w:t>
      </w:r>
    </w:p>
    <w:p w14:paraId="54DC162C" w14:textId="77777777" w:rsidR="00C64A59" w:rsidRPr="00EA0EA9" w:rsidRDefault="00C64A59" w:rsidP="00B647C0">
      <w:pPr>
        <w:numPr>
          <w:ilvl w:val="0"/>
          <w:numId w:val="9"/>
        </w:numPr>
        <w:spacing w:line="276" w:lineRule="auto"/>
        <w:jc w:val="both"/>
        <w:rPr>
          <w:rFonts w:asciiTheme="majorHAnsi" w:hAnsiTheme="majorHAnsi"/>
          <w:bCs/>
          <w:lang w:eastAsia="en-GB"/>
        </w:rPr>
      </w:pPr>
      <w:r w:rsidRPr="00EA0EA9">
        <w:rPr>
          <w:rFonts w:asciiTheme="majorHAnsi" w:hAnsiTheme="majorHAnsi"/>
          <w:bCs/>
          <w:lang w:eastAsia="en-GB"/>
        </w:rPr>
        <w:t xml:space="preserve">Stepping up efforts towards gender equality, including the disaggregation of data by gender, and setting targets to achieve gender parity </w:t>
      </w:r>
    </w:p>
    <w:p w14:paraId="1A4B8A80" w14:textId="77777777" w:rsidR="00C64A59" w:rsidRPr="00EA0EA9" w:rsidRDefault="00C64A59" w:rsidP="00B647C0">
      <w:pPr>
        <w:spacing w:line="276" w:lineRule="auto"/>
        <w:jc w:val="both"/>
        <w:rPr>
          <w:rFonts w:asciiTheme="majorHAnsi" w:hAnsiTheme="majorHAnsi"/>
          <w:bCs/>
          <w:lang w:eastAsia="en-GB"/>
        </w:rPr>
      </w:pPr>
    </w:p>
    <w:p w14:paraId="5F0D1548" w14:textId="77777777" w:rsidR="00C64A59" w:rsidRPr="00EA0EA9" w:rsidRDefault="00C64A59" w:rsidP="00B647C0">
      <w:pPr>
        <w:spacing w:line="276" w:lineRule="auto"/>
        <w:jc w:val="both"/>
        <w:rPr>
          <w:rFonts w:asciiTheme="majorHAnsi" w:hAnsiTheme="majorHAnsi"/>
          <w:bCs/>
          <w:lang w:eastAsia="en-GB"/>
        </w:rPr>
      </w:pPr>
      <w:r w:rsidRPr="00EA0EA9">
        <w:rPr>
          <w:rFonts w:asciiTheme="majorHAnsi" w:hAnsiTheme="majorHAnsi"/>
          <w:bCs/>
          <w:lang w:eastAsia="en-GB"/>
        </w:rPr>
        <w:t xml:space="preserve">One of the main characteristics of the Busan Partnership is its emphasis on the role of aid as a complement to other sources of development financing, since aid on its own cannot break the poverty cycle. Consequently, development co-operation should be a catalyst to mobilise resources to achieve development goals. Development partners are urged to reconsider how - and for what purpose - aid is invested, ensuring that it is in accordance with commitments towards human rights, decent work, gender equality, environmental sustainability and disability. The Busan Partnership proposes: </w:t>
      </w:r>
    </w:p>
    <w:p w14:paraId="13F6619F" w14:textId="77777777" w:rsidR="00C64A59" w:rsidRPr="00EA0EA9" w:rsidRDefault="00C64A59" w:rsidP="00B647C0">
      <w:pPr>
        <w:numPr>
          <w:ilvl w:val="0"/>
          <w:numId w:val="10"/>
        </w:numPr>
        <w:spacing w:line="276" w:lineRule="auto"/>
        <w:jc w:val="both"/>
        <w:rPr>
          <w:rFonts w:asciiTheme="majorHAnsi" w:hAnsiTheme="majorHAnsi"/>
          <w:bCs/>
          <w:lang w:eastAsia="en-GB"/>
        </w:rPr>
      </w:pPr>
      <w:r w:rsidRPr="00EA0EA9">
        <w:rPr>
          <w:rFonts w:asciiTheme="majorHAnsi" w:hAnsiTheme="majorHAnsi"/>
          <w:bCs/>
          <w:lang w:eastAsia="en-GB"/>
        </w:rPr>
        <w:t xml:space="preserve">That domestic resource be mobilised to increase government resources. To do so, it urges development partners to fight more directly against corruption and tax evasion. </w:t>
      </w:r>
    </w:p>
    <w:p w14:paraId="6E0BCAE7" w14:textId="77777777" w:rsidR="00C64A59" w:rsidRPr="00EA0EA9" w:rsidRDefault="00C64A59" w:rsidP="00B647C0">
      <w:pPr>
        <w:numPr>
          <w:ilvl w:val="0"/>
          <w:numId w:val="10"/>
        </w:numPr>
        <w:spacing w:line="276" w:lineRule="auto"/>
        <w:jc w:val="both"/>
        <w:rPr>
          <w:rFonts w:asciiTheme="majorHAnsi" w:hAnsiTheme="majorHAnsi"/>
          <w:bCs/>
          <w:lang w:eastAsia="en-GB"/>
        </w:rPr>
      </w:pPr>
      <w:r w:rsidRPr="00EA0EA9">
        <w:rPr>
          <w:rFonts w:asciiTheme="majorHAnsi" w:hAnsiTheme="majorHAnsi"/>
          <w:bCs/>
          <w:lang w:eastAsia="en-GB"/>
        </w:rPr>
        <w:t xml:space="preserve">Taking a strong position on strengthening national institutions under the leadership of developing countries. </w:t>
      </w:r>
    </w:p>
    <w:p w14:paraId="5573FE52" w14:textId="77777777" w:rsidR="00C64A59" w:rsidRPr="00EA0EA9" w:rsidRDefault="00C64A59" w:rsidP="00B647C0">
      <w:pPr>
        <w:numPr>
          <w:ilvl w:val="0"/>
          <w:numId w:val="10"/>
        </w:numPr>
        <w:spacing w:line="276" w:lineRule="auto"/>
        <w:jc w:val="both"/>
        <w:rPr>
          <w:rFonts w:asciiTheme="majorHAnsi" w:hAnsiTheme="majorHAnsi"/>
          <w:bCs/>
          <w:lang w:eastAsia="en-GB"/>
        </w:rPr>
      </w:pPr>
      <w:r w:rsidRPr="00EA0EA9">
        <w:rPr>
          <w:rFonts w:asciiTheme="majorHAnsi" w:hAnsiTheme="majorHAnsi"/>
          <w:bCs/>
          <w:lang w:eastAsia="en-GB"/>
        </w:rPr>
        <w:t xml:space="preserve">Building stronger relationships between development co-operation and the private sector, by supporting the creation of a favourable environment for the different partners and fostering public-private partnerships </w:t>
      </w:r>
    </w:p>
    <w:p w14:paraId="5DF07A1C" w14:textId="77777777" w:rsidR="00C64A59" w:rsidRPr="00EA0EA9" w:rsidRDefault="00C64A59" w:rsidP="00C64A59">
      <w:pPr>
        <w:jc w:val="both"/>
        <w:rPr>
          <w:rFonts w:asciiTheme="majorHAnsi" w:hAnsiTheme="majorHAnsi"/>
          <w:bCs/>
          <w:lang w:eastAsia="en-GB"/>
        </w:rPr>
      </w:pPr>
    </w:p>
    <w:p w14:paraId="6D897AB5" w14:textId="77777777" w:rsidR="00C64A59" w:rsidRPr="00EA0EA9" w:rsidRDefault="00C64A59" w:rsidP="00B647C0">
      <w:pPr>
        <w:spacing w:line="276" w:lineRule="auto"/>
        <w:jc w:val="both"/>
        <w:rPr>
          <w:rFonts w:asciiTheme="majorHAnsi" w:hAnsiTheme="majorHAnsi"/>
          <w:bCs/>
          <w:lang w:eastAsia="en-GB"/>
        </w:rPr>
      </w:pPr>
      <w:r w:rsidRPr="00EA0EA9">
        <w:rPr>
          <w:rFonts w:asciiTheme="majorHAnsi" w:hAnsiTheme="majorHAnsi"/>
          <w:bCs/>
          <w:lang w:eastAsia="en-GB"/>
        </w:rPr>
        <w:t>At a country level, the effective and transformational application of the Busan Principles is always difficult to assess. In this report we have combined a civil libertarian lens focused on application of International human right norms,</w:t>
      </w:r>
      <w:r w:rsidR="00961AF2" w:rsidRPr="00EA0EA9">
        <w:rPr>
          <w:rFonts w:asciiTheme="majorHAnsi" w:hAnsiTheme="majorHAnsi"/>
          <w:bCs/>
          <w:lang w:eastAsia="en-GB"/>
        </w:rPr>
        <w:t xml:space="preserve"> </w:t>
      </w:r>
      <w:r w:rsidRPr="00EA0EA9">
        <w:rPr>
          <w:rFonts w:asciiTheme="majorHAnsi" w:hAnsiTheme="majorHAnsi"/>
          <w:bCs/>
          <w:lang w:eastAsia="en-GB"/>
        </w:rPr>
        <w:t>as well as a political economy lens that looks broadly at State-Society relations and in particular the space for civil society. This report seeks to study South Africa’s regulatory and operational environment for civil society. For purposes of drawing clear conclusions and recommendations, we have focused the research enquiry on Child Rights and the ecosystem for their implementation.</w:t>
      </w:r>
    </w:p>
    <w:p w14:paraId="4E35593B" w14:textId="77777777" w:rsidR="00C64A59" w:rsidRPr="00EA0EA9" w:rsidRDefault="00C64A59" w:rsidP="003A2492">
      <w:pPr>
        <w:pStyle w:val="Heading2"/>
        <w:numPr>
          <w:ilvl w:val="1"/>
          <w:numId w:val="75"/>
        </w:numPr>
        <w:rPr>
          <w:color w:val="C00000"/>
          <w:lang w:eastAsia="en-GB"/>
        </w:rPr>
      </w:pPr>
      <w:bookmarkStart w:id="9" w:name="_Toc476983575"/>
      <w:r w:rsidRPr="00EA0EA9">
        <w:rPr>
          <w:color w:val="C00000"/>
          <w:lang w:eastAsia="en-GB"/>
        </w:rPr>
        <w:t>Monitoring Frameworks at the Country and Global Level</w:t>
      </w:r>
      <w:bookmarkEnd w:id="9"/>
      <w:r w:rsidRPr="00EA0EA9">
        <w:rPr>
          <w:color w:val="C00000"/>
          <w:lang w:eastAsia="en-GB"/>
        </w:rPr>
        <w:t xml:space="preserve"> </w:t>
      </w:r>
    </w:p>
    <w:p w14:paraId="6FAD006D" w14:textId="77777777" w:rsidR="00C64A59" w:rsidRPr="00EA0EA9" w:rsidRDefault="00C64A59" w:rsidP="00B647C0">
      <w:pPr>
        <w:spacing w:line="276" w:lineRule="auto"/>
        <w:jc w:val="both"/>
        <w:rPr>
          <w:rFonts w:asciiTheme="majorHAnsi" w:hAnsiTheme="majorHAnsi"/>
          <w:bCs/>
          <w:lang w:eastAsia="en-GB"/>
        </w:rPr>
      </w:pPr>
      <w:r w:rsidRPr="00EA0EA9">
        <w:rPr>
          <w:rFonts w:asciiTheme="majorHAnsi" w:hAnsiTheme="majorHAnsi"/>
          <w:bCs/>
          <w:lang w:eastAsia="en-GB"/>
        </w:rPr>
        <w:t xml:space="preserve">One of the lessons learned between Paris and Busan was the importance of monitoring as a tool for partners to hold each other accountable for their commitments. As a result, in Busan, three processes were defined that, together with other initiatives, would enable the monitoring of these commitments: </w:t>
      </w:r>
    </w:p>
    <w:p w14:paraId="5AF64730" w14:textId="77777777" w:rsidR="00C64A59" w:rsidRPr="00EA0EA9" w:rsidRDefault="00C64A59" w:rsidP="00B647C0">
      <w:pPr>
        <w:numPr>
          <w:ilvl w:val="0"/>
          <w:numId w:val="11"/>
        </w:numPr>
        <w:spacing w:line="276" w:lineRule="auto"/>
        <w:jc w:val="both"/>
        <w:rPr>
          <w:rFonts w:asciiTheme="majorHAnsi" w:hAnsiTheme="majorHAnsi"/>
          <w:bCs/>
          <w:lang w:eastAsia="en-GB"/>
        </w:rPr>
      </w:pPr>
      <w:r w:rsidRPr="00EA0EA9">
        <w:rPr>
          <w:rFonts w:asciiTheme="majorHAnsi" w:hAnsiTheme="majorHAnsi"/>
          <w:bCs/>
          <w:lang w:eastAsia="en-GB"/>
        </w:rPr>
        <w:t xml:space="preserve">The establishment of indicators and goals at the country level defined according to the country’s own priorities. These will be used to evaluate the progress made by different development actors on their commitments. The results will be made publicly available. </w:t>
      </w:r>
    </w:p>
    <w:p w14:paraId="3515E45D" w14:textId="77777777" w:rsidR="00C64A59" w:rsidRPr="00EA0EA9" w:rsidRDefault="00C64A59" w:rsidP="00B647C0">
      <w:pPr>
        <w:numPr>
          <w:ilvl w:val="0"/>
          <w:numId w:val="11"/>
        </w:numPr>
        <w:spacing w:line="276" w:lineRule="auto"/>
        <w:jc w:val="both"/>
        <w:rPr>
          <w:rFonts w:asciiTheme="majorHAnsi" w:hAnsiTheme="majorHAnsi"/>
          <w:bCs/>
          <w:lang w:eastAsia="en-GB"/>
        </w:rPr>
      </w:pPr>
      <w:r w:rsidRPr="00EA0EA9">
        <w:rPr>
          <w:rFonts w:asciiTheme="majorHAnsi" w:hAnsiTheme="majorHAnsi"/>
          <w:bCs/>
          <w:lang w:eastAsia="en-GB"/>
        </w:rPr>
        <w:lastRenderedPageBreak/>
        <w:t xml:space="preserve">A global monitoring framework with indicators and common goals that will enable cross-country comparison and foster international accountability. A report will be published periodically. </w:t>
      </w:r>
    </w:p>
    <w:p w14:paraId="23E69B27" w14:textId="77777777" w:rsidR="00C64A59" w:rsidRPr="00EA0EA9" w:rsidRDefault="00C64A59" w:rsidP="00B647C0">
      <w:pPr>
        <w:numPr>
          <w:ilvl w:val="0"/>
          <w:numId w:val="11"/>
        </w:numPr>
        <w:spacing w:line="276" w:lineRule="auto"/>
        <w:jc w:val="both"/>
        <w:rPr>
          <w:rFonts w:asciiTheme="majorHAnsi" w:hAnsiTheme="majorHAnsi"/>
          <w:bCs/>
          <w:lang w:eastAsia="en-GB"/>
        </w:rPr>
      </w:pPr>
      <w:r w:rsidRPr="00EA0EA9">
        <w:rPr>
          <w:rFonts w:asciiTheme="majorHAnsi" w:hAnsiTheme="majorHAnsi"/>
          <w:bCs/>
          <w:lang w:eastAsia="en-GB"/>
        </w:rPr>
        <w:t xml:space="preserve">The creation of a “Global Partnership for Effective Development Co-operation” as an inclusive, representative forum that will supervise and give political support to the accomplishment of the agreements. </w:t>
      </w:r>
    </w:p>
    <w:p w14:paraId="60DAF910" w14:textId="77777777" w:rsidR="00C64A59" w:rsidRPr="00EA0EA9" w:rsidRDefault="00C64A59" w:rsidP="007924A1">
      <w:pPr>
        <w:pStyle w:val="Heading2"/>
        <w:numPr>
          <w:ilvl w:val="1"/>
          <w:numId w:val="75"/>
        </w:numPr>
        <w:rPr>
          <w:color w:val="C00000"/>
          <w:sz w:val="28"/>
          <w:szCs w:val="28"/>
          <w:lang w:eastAsia="en-GB"/>
        </w:rPr>
      </w:pPr>
      <w:bookmarkStart w:id="10" w:name="_Toc476983576"/>
      <w:r w:rsidRPr="00EA0EA9">
        <w:rPr>
          <w:color w:val="C00000"/>
          <w:sz w:val="28"/>
          <w:szCs w:val="28"/>
          <w:lang w:eastAsia="en-GB"/>
        </w:rPr>
        <w:t>The Enabling Environment Indicators</w:t>
      </w:r>
      <w:bookmarkEnd w:id="10"/>
    </w:p>
    <w:p w14:paraId="4B91C91B" w14:textId="77777777" w:rsidR="00C64A59" w:rsidRPr="00EA0EA9" w:rsidRDefault="00C64A59" w:rsidP="00B647C0">
      <w:pPr>
        <w:spacing w:line="276" w:lineRule="auto"/>
        <w:jc w:val="both"/>
        <w:rPr>
          <w:rFonts w:asciiTheme="majorHAnsi" w:hAnsiTheme="majorHAnsi"/>
          <w:bCs/>
          <w:lang w:eastAsia="en-GB"/>
        </w:rPr>
      </w:pPr>
      <w:r w:rsidRPr="00EA0EA9">
        <w:rPr>
          <w:rFonts w:asciiTheme="majorHAnsi" w:hAnsiTheme="majorHAnsi"/>
          <w:bCs/>
          <w:lang w:eastAsia="en-GB"/>
        </w:rPr>
        <w:t>The Enabling Environment Index is based on a compendium of indicators focusing on five areas: 1) the</w:t>
      </w:r>
      <w:r w:rsidR="00260AB5" w:rsidRPr="00EA0EA9">
        <w:rPr>
          <w:rFonts w:asciiTheme="majorHAnsi" w:hAnsiTheme="majorHAnsi"/>
          <w:bCs/>
          <w:lang w:eastAsia="en-GB"/>
        </w:rPr>
        <w:t xml:space="preserve"> legal and regulatory framework; 2) the political environment;</w:t>
      </w:r>
      <w:r w:rsidRPr="00EA0EA9">
        <w:rPr>
          <w:rFonts w:asciiTheme="majorHAnsi" w:hAnsiTheme="majorHAnsi"/>
          <w:bCs/>
          <w:lang w:eastAsia="en-GB"/>
        </w:rPr>
        <w:t xml:space="preserve"> 3) the governance context</w:t>
      </w:r>
      <w:r w:rsidR="00260AB5" w:rsidRPr="00EA0EA9">
        <w:rPr>
          <w:rFonts w:asciiTheme="majorHAnsi" w:hAnsiTheme="majorHAnsi"/>
          <w:bCs/>
          <w:lang w:eastAsia="en-GB"/>
        </w:rPr>
        <w:t>; 4) the socio-cultural context;</w:t>
      </w:r>
      <w:r w:rsidRPr="00EA0EA9">
        <w:rPr>
          <w:rFonts w:asciiTheme="majorHAnsi" w:hAnsiTheme="majorHAnsi"/>
          <w:bCs/>
          <w:lang w:eastAsia="en-GB"/>
        </w:rPr>
        <w:t xml:space="preserve"> and 5) the socio-economic context</w:t>
      </w:r>
    </w:p>
    <w:p w14:paraId="32DCF909" w14:textId="77777777" w:rsidR="00C64A59" w:rsidRPr="00EA0EA9" w:rsidRDefault="00C64A59" w:rsidP="00B647C0">
      <w:pPr>
        <w:spacing w:line="276" w:lineRule="auto"/>
        <w:jc w:val="both"/>
        <w:rPr>
          <w:rFonts w:asciiTheme="majorHAnsi" w:hAnsiTheme="majorHAnsi"/>
          <w:bCs/>
          <w:lang w:eastAsia="en-GB"/>
        </w:rPr>
      </w:pPr>
      <w:r w:rsidRPr="00EA0EA9">
        <w:rPr>
          <w:rFonts w:asciiTheme="majorHAnsi" w:hAnsiTheme="majorHAnsi"/>
          <w:bCs/>
          <w:lang w:eastAsia="en-GB"/>
        </w:rPr>
        <w:t>In this report,</w:t>
      </w:r>
      <w:r w:rsidR="00260AB5" w:rsidRPr="00EA0EA9">
        <w:rPr>
          <w:rFonts w:asciiTheme="majorHAnsi" w:hAnsiTheme="majorHAnsi"/>
          <w:bCs/>
          <w:lang w:eastAsia="en-GB"/>
        </w:rPr>
        <w:t xml:space="preserve"> </w:t>
      </w:r>
      <w:r w:rsidRPr="00EA0EA9">
        <w:rPr>
          <w:rFonts w:asciiTheme="majorHAnsi" w:hAnsiTheme="majorHAnsi"/>
          <w:bCs/>
          <w:lang w:eastAsia="en-GB"/>
        </w:rPr>
        <w:t xml:space="preserve">particular consideration will be given to those components that relate most directly to the Busan commitments, and are largely within the control of stakeholders adhering to the Busan Partnership, i.e.: </w:t>
      </w:r>
    </w:p>
    <w:p w14:paraId="624A9B25" w14:textId="77777777" w:rsidR="00C64A59" w:rsidRPr="00EA0EA9" w:rsidRDefault="00C64A59" w:rsidP="00B647C0">
      <w:pPr>
        <w:numPr>
          <w:ilvl w:val="0"/>
          <w:numId w:val="12"/>
        </w:numPr>
        <w:spacing w:line="276" w:lineRule="auto"/>
        <w:jc w:val="both"/>
        <w:rPr>
          <w:rFonts w:asciiTheme="majorHAnsi" w:hAnsiTheme="majorHAnsi"/>
          <w:bCs/>
          <w:lang w:eastAsia="en-GB"/>
        </w:rPr>
      </w:pPr>
      <w:r w:rsidRPr="00EA0EA9">
        <w:rPr>
          <w:rFonts w:asciiTheme="majorHAnsi" w:hAnsiTheme="majorHAnsi"/>
          <w:bCs/>
          <w:lang w:eastAsia="en-GB"/>
        </w:rPr>
        <w:t xml:space="preserve">Legal and regulatory framework for civil society operations; and </w:t>
      </w:r>
    </w:p>
    <w:p w14:paraId="632EC237" w14:textId="77777777" w:rsidR="00C64A59" w:rsidRPr="00EA0EA9" w:rsidRDefault="00C64A59" w:rsidP="00B647C0">
      <w:pPr>
        <w:numPr>
          <w:ilvl w:val="0"/>
          <w:numId w:val="12"/>
        </w:numPr>
        <w:spacing w:line="276" w:lineRule="auto"/>
        <w:jc w:val="both"/>
        <w:rPr>
          <w:rFonts w:asciiTheme="majorHAnsi" w:hAnsiTheme="majorHAnsi"/>
          <w:bCs/>
          <w:lang w:eastAsia="en-GB"/>
        </w:rPr>
      </w:pPr>
      <w:r w:rsidRPr="00EA0EA9">
        <w:rPr>
          <w:rFonts w:asciiTheme="majorHAnsi" w:hAnsiTheme="majorHAnsi"/>
          <w:bCs/>
          <w:lang w:eastAsia="en-GB"/>
        </w:rPr>
        <w:t>Selected elements of the governance/political environment that have a direct bearing on CSO activity.</w:t>
      </w:r>
    </w:p>
    <w:p w14:paraId="13DDA7C7" w14:textId="77777777" w:rsidR="00C64A59" w:rsidRPr="00EA0EA9" w:rsidRDefault="00C64A59" w:rsidP="00C64A59">
      <w:pPr>
        <w:jc w:val="both"/>
        <w:rPr>
          <w:rFonts w:asciiTheme="majorHAnsi" w:hAnsiTheme="majorHAnsi"/>
          <w:bCs/>
          <w:lang w:eastAsia="en-GB"/>
        </w:rPr>
      </w:pPr>
      <w:r w:rsidRPr="00EA0EA9">
        <w:rPr>
          <w:rFonts w:asciiTheme="majorHAnsi" w:hAnsiTheme="majorHAnsi"/>
          <w:bCs/>
          <w:lang w:eastAsia="en-GB"/>
        </w:rPr>
        <w:t xml:space="preserve">This report focuses on civil society organizations, recognizing that their respective constituencies and roles in society are very diverse, and operate at many levels. The report proposes to focus on two key areas for an enabling environment for CSOs, namely: </w:t>
      </w:r>
    </w:p>
    <w:p w14:paraId="397A3112" w14:textId="77777777" w:rsidR="00C64A59" w:rsidRPr="00EA0EA9" w:rsidRDefault="00C64A59" w:rsidP="00C64A59">
      <w:pPr>
        <w:numPr>
          <w:ilvl w:val="0"/>
          <w:numId w:val="13"/>
        </w:numPr>
        <w:jc w:val="both"/>
        <w:rPr>
          <w:rFonts w:asciiTheme="majorHAnsi" w:hAnsiTheme="majorHAnsi"/>
          <w:bCs/>
          <w:lang w:eastAsia="en-GB"/>
        </w:rPr>
      </w:pPr>
      <w:r w:rsidRPr="00EA0EA9">
        <w:rPr>
          <w:rFonts w:asciiTheme="majorHAnsi" w:hAnsiTheme="majorHAnsi"/>
          <w:bCs/>
          <w:lang w:eastAsia="en-GB"/>
        </w:rPr>
        <w:t>The implementation of an enabling regulatory and legal framework for CSOs (consistent with human rights norms for the right to organize, freedom of assembly and freedom of</w:t>
      </w:r>
      <w:r w:rsidR="00103228" w:rsidRPr="00EA0EA9">
        <w:rPr>
          <w:rFonts w:asciiTheme="majorHAnsi" w:hAnsiTheme="majorHAnsi"/>
          <w:bCs/>
          <w:lang w:eastAsia="en-GB"/>
        </w:rPr>
        <w:t xml:space="preserve"> speech);</w:t>
      </w:r>
      <w:r w:rsidRPr="00EA0EA9">
        <w:rPr>
          <w:rFonts w:asciiTheme="majorHAnsi" w:hAnsiTheme="majorHAnsi"/>
          <w:bCs/>
          <w:lang w:eastAsia="en-GB"/>
        </w:rPr>
        <w:t xml:space="preserve"> and </w:t>
      </w:r>
    </w:p>
    <w:p w14:paraId="1FB946B9" w14:textId="77777777" w:rsidR="00C64A59" w:rsidRPr="00EA0EA9" w:rsidRDefault="00C64A59" w:rsidP="00C64A59">
      <w:pPr>
        <w:numPr>
          <w:ilvl w:val="0"/>
          <w:numId w:val="13"/>
        </w:numPr>
        <w:jc w:val="both"/>
        <w:rPr>
          <w:rFonts w:asciiTheme="majorHAnsi" w:hAnsiTheme="majorHAnsi"/>
          <w:bCs/>
          <w:lang w:eastAsia="en-GB"/>
        </w:rPr>
      </w:pPr>
      <w:r w:rsidRPr="00EA0EA9">
        <w:rPr>
          <w:rFonts w:asciiTheme="majorHAnsi" w:hAnsiTheme="majorHAnsi"/>
          <w:bCs/>
          <w:lang w:eastAsia="en-GB"/>
        </w:rPr>
        <w:t xml:space="preserve">The existence of inclusive policy processes and facilitative institutions (democratic ownership). </w:t>
      </w:r>
    </w:p>
    <w:p w14:paraId="21DAF01D" w14:textId="77777777" w:rsidR="00C64A59" w:rsidRPr="00EA0EA9" w:rsidRDefault="00C64A59" w:rsidP="00C64A59">
      <w:pPr>
        <w:jc w:val="both"/>
        <w:rPr>
          <w:rFonts w:asciiTheme="majorHAnsi" w:hAnsiTheme="majorHAnsi"/>
          <w:bCs/>
          <w:lang w:eastAsia="en-GB"/>
        </w:rPr>
      </w:pPr>
    </w:p>
    <w:p w14:paraId="673A5842" w14:textId="77777777" w:rsidR="00C64A59" w:rsidRPr="00EA0EA9" w:rsidRDefault="00C64A59" w:rsidP="0044561C">
      <w:pPr>
        <w:spacing w:line="276" w:lineRule="auto"/>
        <w:jc w:val="both"/>
        <w:rPr>
          <w:rFonts w:asciiTheme="majorHAnsi" w:hAnsiTheme="majorHAnsi"/>
          <w:bCs/>
          <w:lang w:eastAsia="en-GB"/>
        </w:rPr>
      </w:pPr>
      <w:r w:rsidRPr="00EA0EA9">
        <w:rPr>
          <w:rFonts w:asciiTheme="majorHAnsi" w:hAnsiTheme="majorHAnsi"/>
          <w:bCs/>
          <w:lang w:eastAsia="en-GB"/>
        </w:rPr>
        <w:t>These factors only make sense if situated within the historiography of civil society and human rights in South Africa as well as the contemporary factors that shape and re-shape the meaning, forms and praxis of such civil society.  We will in the following sections analyse the conceptual, contextual and practice aspects of civil society starting with the historiography. We do not propose to abstract civil society outside its relationship with the State, the market, broader society, and development governance generally. Civil society is embedded in these and implicated in their excesses and short-comings. Though civil society exists on its own, it does not exist in spite of the State. The State is necessary for civil society to assert and enjoy its full rights and freedoms.</w:t>
      </w:r>
    </w:p>
    <w:p w14:paraId="4458C002" w14:textId="77777777" w:rsidR="005445F7" w:rsidRPr="00EA0EA9" w:rsidRDefault="005445F7" w:rsidP="0044561C">
      <w:pPr>
        <w:spacing w:line="276" w:lineRule="auto"/>
        <w:jc w:val="both"/>
        <w:rPr>
          <w:rFonts w:asciiTheme="majorHAnsi" w:hAnsiTheme="majorHAnsi"/>
          <w:bCs/>
          <w:lang w:eastAsia="en-GB"/>
        </w:rPr>
      </w:pPr>
    </w:p>
    <w:p w14:paraId="1BCAD303" w14:textId="77777777" w:rsidR="005445F7" w:rsidRPr="00EA0EA9" w:rsidRDefault="005445F7" w:rsidP="0044561C">
      <w:pPr>
        <w:spacing w:line="276" w:lineRule="auto"/>
        <w:jc w:val="both"/>
        <w:rPr>
          <w:rFonts w:asciiTheme="majorHAnsi" w:hAnsiTheme="majorHAnsi"/>
          <w:bCs/>
          <w:lang w:eastAsia="en-GB"/>
        </w:rPr>
      </w:pPr>
    </w:p>
    <w:p w14:paraId="4F0DDC1A" w14:textId="77777777" w:rsidR="005445F7" w:rsidRPr="00EA0EA9" w:rsidRDefault="005445F7" w:rsidP="0044561C">
      <w:pPr>
        <w:spacing w:line="276" w:lineRule="auto"/>
        <w:jc w:val="both"/>
        <w:rPr>
          <w:rFonts w:asciiTheme="majorHAnsi" w:hAnsiTheme="majorHAnsi"/>
          <w:bCs/>
          <w:lang w:eastAsia="en-GB"/>
        </w:rPr>
      </w:pPr>
    </w:p>
    <w:p w14:paraId="61C1AC42" w14:textId="77777777" w:rsidR="005445F7" w:rsidRPr="00EA0EA9" w:rsidRDefault="005445F7" w:rsidP="0044561C">
      <w:pPr>
        <w:spacing w:line="276" w:lineRule="auto"/>
        <w:jc w:val="both"/>
        <w:rPr>
          <w:rFonts w:asciiTheme="majorHAnsi" w:hAnsiTheme="majorHAnsi"/>
          <w:bCs/>
          <w:lang w:eastAsia="en-GB"/>
        </w:rPr>
      </w:pPr>
    </w:p>
    <w:p w14:paraId="5DFA3F82" w14:textId="77777777" w:rsidR="001802C4" w:rsidRPr="00EA0EA9" w:rsidRDefault="001802C4" w:rsidP="000D1DF6">
      <w:pPr>
        <w:pStyle w:val="Heading1"/>
        <w:numPr>
          <w:ilvl w:val="0"/>
          <w:numId w:val="75"/>
        </w:numPr>
        <w:rPr>
          <w:color w:val="0000FF"/>
          <w:sz w:val="32"/>
          <w:lang w:eastAsia="en-GB"/>
        </w:rPr>
      </w:pPr>
      <w:bookmarkStart w:id="11" w:name="_Toc476983577"/>
      <w:r w:rsidRPr="00EA0EA9">
        <w:rPr>
          <w:color w:val="0000FF"/>
          <w:sz w:val="32"/>
          <w:lang w:eastAsia="en-GB"/>
        </w:rPr>
        <w:lastRenderedPageBreak/>
        <w:t>South African Key Economic and Social Indicators</w:t>
      </w:r>
      <w:bookmarkEnd w:id="11"/>
    </w:p>
    <w:p w14:paraId="64634EC4" w14:textId="77777777" w:rsidR="00BA05D9" w:rsidRPr="00EA0EA9" w:rsidRDefault="00BA05D9" w:rsidP="00BA05D9">
      <w:pPr>
        <w:pStyle w:val="Heading2"/>
        <w:numPr>
          <w:ilvl w:val="1"/>
          <w:numId w:val="75"/>
        </w:numPr>
        <w:rPr>
          <w:color w:val="C00000"/>
          <w:sz w:val="28"/>
          <w:lang w:eastAsia="en-GB"/>
        </w:rPr>
      </w:pPr>
      <w:bookmarkStart w:id="12" w:name="_Toc476983578"/>
      <w:r w:rsidRPr="00EA0EA9">
        <w:rPr>
          <w:color w:val="C00000"/>
          <w:sz w:val="28"/>
          <w:lang w:eastAsia="en-GB"/>
        </w:rPr>
        <w:t>Economic and Social Factors</w:t>
      </w:r>
      <w:bookmarkEnd w:id="12"/>
    </w:p>
    <w:p w14:paraId="50D1AEA9" w14:textId="77777777" w:rsidR="001802C4" w:rsidRPr="00EA0EA9" w:rsidRDefault="001802C4" w:rsidP="0044561C">
      <w:pPr>
        <w:spacing w:line="276" w:lineRule="auto"/>
        <w:jc w:val="both"/>
        <w:rPr>
          <w:rFonts w:ascii="Cambria" w:hAnsi="Cambria"/>
          <w:bCs/>
          <w:lang w:eastAsia="en-GB"/>
        </w:rPr>
      </w:pPr>
      <w:r w:rsidRPr="00EA0EA9">
        <w:rPr>
          <w:rFonts w:ascii="Cambria" w:hAnsi="Cambria"/>
          <w:bCs/>
          <w:lang w:eastAsia="en-GB"/>
        </w:rPr>
        <w:t>For a significant part of the first decade of the 21</w:t>
      </w:r>
      <w:r w:rsidRPr="00EA0EA9">
        <w:rPr>
          <w:rFonts w:ascii="Cambria" w:hAnsi="Cambria"/>
          <w:bCs/>
          <w:vertAlign w:val="superscript"/>
          <w:lang w:eastAsia="en-GB"/>
        </w:rPr>
        <w:t>st</w:t>
      </w:r>
      <w:r w:rsidRPr="00EA0EA9">
        <w:rPr>
          <w:rFonts w:ascii="Cambria" w:hAnsi="Cambria"/>
          <w:bCs/>
          <w:lang w:eastAsia="en-GB"/>
        </w:rPr>
        <w:t xml:space="preserve"> century, South Africa experienced relatively levels of economic growth with an average Gross Domestic Product of 4.5% year-on-year. However, in the second decade of the 21</w:t>
      </w:r>
      <w:r w:rsidRPr="00EA0EA9">
        <w:rPr>
          <w:rFonts w:ascii="Cambria" w:hAnsi="Cambria"/>
          <w:bCs/>
          <w:vertAlign w:val="superscript"/>
          <w:lang w:eastAsia="en-GB"/>
        </w:rPr>
        <w:t xml:space="preserve">st </w:t>
      </w:r>
      <w:r w:rsidRPr="00EA0EA9">
        <w:rPr>
          <w:rFonts w:ascii="Cambria" w:hAnsi="Cambria"/>
          <w:bCs/>
          <w:lang w:eastAsia="en-GB"/>
        </w:rPr>
        <w:t xml:space="preserve">century, this trend has reversed as various governments have struggled to sufficiently address structural challenges within the economy. Statistics South Africa estimates that the economy will grow by a mere 0.5 per cent in 2017, which is 1% less than the previously projected growth levels. Some of the challenges that persist include: a widening gap between the rich and the poor; low levels of skill among the labour force; high unemployment rate; deteriorating infrastructure; and high levels of corruption and crime rates. </w:t>
      </w:r>
    </w:p>
    <w:p w14:paraId="17267418" w14:textId="77777777" w:rsidR="001802C4" w:rsidRPr="00EA0EA9" w:rsidRDefault="001802C4" w:rsidP="0044561C">
      <w:pPr>
        <w:spacing w:line="276" w:lineRule="auto"/>
        <w:jc w:val="both"/>
        <w:rPr>
          <w:rFonts w:ascii="Cambria" w:hAnsi="Cambria"/>
          <w:bCs/>
          <w:lang w:eastAsia="en-GB"/>
        </w:rPr>
      </w:pPr>
    </w:p>
    <w:p w14:paraId="3940895F" w14:textId="77777777" w:rsidR="001802C4" w:rsidRPr="00EA0EA9" w:rsidRDefault="001802C4" w:rsidP="0044561C">
      <w:pPr>
        <w:spacing w:line="276" w:lineRule="auto"/>
        <w:jc w:val="both"/>
        <w:rPr>
          <w:rFonts w:ascii="Cambria" w:hAnsi="Cambria"/>
          <w:bCs/>
          <w:lang w:eastAsia="en-GB"/>
        </w:rPr>
      </w:pPr>
      <w:r w:rsidRPr="00EA0EA9">
        <w:rPr>
          <w:rFonts w:ascii="Cambria" w:hAnsi="Cambria"/>
          <w:bCs/>
          <w:lang w:eastAsia="en-GB"/>
        </w:rPr>
        <w:t>As stated above, South Africa’s economic growth rate has been relatively sluggish and below the African average and certainly that of Africa’s best performing economies for the last 5 years</w:t>
      </w:r>
      <w:r w:rsidRPr="00EA0EA9">
        <w:rPr>
          <w:rFonts w:ascii="Cambria" w:hAnsi="Cambria"/>
          <w:bCs/>
          <w:vertAlign w:val="superscript"/>
          <w:lang w:eastAsia="en-GB"/>
        </w:rPr>
        <w:footnoteReference w:id="3"/>
      </w:r>
      <w:r w:rsidRPr="00EA0EA9">
        <w:rPr>
          <w:rFonts w:ascii="Cambria" w:hAnsi="Cambria"/>
          <w:bCs/>
          <w:lang w:eastAsia="en-GB"/>
        </w:rPr>
        <w:t>. The African Economic Outlook in 2014 predicted that South Africa’s growth rate in 2014 would increase from the 1.9% 2013 level to 2.7%</w:t>
      </w:r>
      <w:r w:rsidRPr="00EA0EA9">
        <w:rPr>
          <w:rFonts w:ascii="Cambria" w:hAnsi="Cambria"/>
          <w:bCs/>
          <w:vertAlign w:val="superscript"/>
          <w:lang w:eastAsia="en-GB"/>
        </w:rPr>
        <w:footnoteReference w:id="4"/>
      </w:r>
      <w:r w:rsidRPr="00EA0EA9">
        <w:rPr>
          <w:rFonts w:ascii="Cambria" w:hAnsi="Cambria"/>
          <w:bCs/>
          <w:lang w:eastAsia="en-GB"/>
        </w:rPr>
        <w:t>. Following contractions in the economy in the first and second quarters, the country recorded a growth rate of 1.4% in the third quarter of 2014</w:t>
      </w:r>
      <w:r w:rsidRPr="00EA0EA9">
        <w:rPr>
          <w:rFonts w:ascii="Cambria" w:hAnsi="Cambria"/>
          <w:bCs/>
          <w:vertAlign w:val="superscript"/>
          <w:lang w:eastAsia="en-GB"/>
        </w:rPr>
        <w:footnoteReference w:id="5"/>
      </w:r>
      <w:r w:rsidRPr="00EA0EA9">
        <w:rPr>
          <w:rFonts w:ascii="Cambria" w:hAnsi="Cambria"/>
          <w:bCs/>
          <w:lang w:eastAsia="en-GB"/>
        </w:rPr>
        <w:t>. Similar declines were experienced in 2015 and 2016 due to a wide range of factors both domestic and external.</w:t>
      </w:r>
      <w:r w:rsidRPr="00EA0EA9">
        <w:rPr>
          <w:rFonts w:ascii="Cambria" w:hAnsi="Cambria"/>
          <w:bCs/>
          <w:vertAlign w:val="superscript"/>
          <w:lang w:eastAsia="en-GB"/>
        </w:rPr>
        <w:footnoteReference w:id="6"/>
      </w:r>
      <w:r w:rsidRPr="00EA0EA9">
        <w:rPr>
          <w:rFonts w:ascii="Cambria" w:hAnsi="Cambria"/>
          <w:bCs/>
          <w:lang w:eastAsia="en-GB"/>
        </w:rPr>
        <w:t xml:space="preserve"> Other key indicators include an inflation rate of 5.8% and unemployment rate of 25.4%.</w:t>
      </w:r>
      <w:r w:rsidRPr="00EA0EA9">
        <w:rPr>
          <w:rFonts w:ascii="Cambria" w:hAnsi="Cambria"/>
          <w:bCs/>
          <w:vertAlign w:val="superscript"/>
          <w:lang w:eastAsia="en-GB"/>
        </w:rPr>
        <w:footnoteReference w:id="7"/>
      </w:r>
      <w:r w:rsidRPr="00EA0EA9">
        <w:rPr>
          <w:rFonts w:ascii="Cambria" w:hAnsi="Cambria"/>
          <w:bCs/>
          <w:lang w:eastAsia="en-GB"/>
        </w:rPr>
        <w:t xml:space="preserve"> The graphic and table below presents some key population indicators in assisting to put the economic indicators into perspective for a society that has significant reliance on philanthropic activity. Of note is that South Africa’s population is largely youthful, with 37.7% of the population made up of young people between the ages of 15 and 34. </w:t>
      </w:r>
    </w:p>
    <w:p w14:paraId="7BE2D461" w14:textId="77777777" w:rsidR="001802C4" w:rsidRPr="00EA0EA9" w:rsidRDefault="001802C4" w:rsidP="001802C4">
      <w:pPr>
        <w:rPr>
          <w:bCs/>
          <w:i/>
          <w:iCs/>
          <w:lang w:eastAsia="en-GB"/>
        </w:rPr>
      </w:pPr>
    </w:p>
    <w:p w14:paraId="47FA8965" w14:textId="77777777" w:rsidR="00BF62AF" w:rsidRPr="00EA0EA9" w:rsidRDefault="00BF62AF" w:rsidP="001802C4">
      <w:pPr>
        <w:rPr>
          <w:bCs/>
          <w:iCs/>
          <w:lang w:eastAsia="en-GB"/>
        </w:rPr>
      </w:pPr>
    </w:p>
    <w:p w14:paraId="7175C0C7" w14:textId="77777777" w:rsidR="00BF62AF" w:rsidRPr="00EA0EA9" w:rsidRDefault="00BF62AF" w:rsidP="001802C4">
      <w:pPr>
        <w:rPr>
          <w:bCs/>
          <w:iCs/>
          <w:lang w:eastAsia="en-GB"/>
        </w:rPr>
      </w:pPr>
    </w:p>
    <w:p w14:paraId="4D71915F" w14:textId="77777777" w:rsidR="00BF62AF" w:rsidRPr="00EA0EA9" w:rsidRDefault="00BF62AF" w:rsidP="001802C4">
      <w:pPr>
        <w:rPr>
          <w:bCs/>
          <w:iCs/>
          <w:lang w:eastAsia="en-GB"/>
        </w:rPr>
      </w:pPr>
    </w:p>
    <w:p w14:paraId="18E2C5C0" w14:textId="77777777" w:rsidR="00BF62AF" w:rsidRPr="00EA0EA9" w:rsidRDefault="00BF62AF" w:rsidP="001802C4">
      <w:pPr>
        <w:rPr>
          <w:bCs/>
          <w:iCs/>
          <w:lang w:eastAsia="en-GB"/>
        </w:rPr>
      </w:pPr>
    </w:p>
    <w:p w14:paraId="4EC9213A" w14:textId="77777777" w:rsidR="00BF62AF" w:rsidRPr="00EA0EA9" w:rsidRDefault="00BF62AF" w:rsidP="001802C4">
      <w:pPr>
        <w:rPr>
          <w:bCs/>
          <w:iCs/>
          <w:lang w:eastAsia="en-GB"/>
        </w:rPr>
      </w:pPr>
    </w:p>
    <w:p w14:paraId="150C9D0B" w14:textId="77777777" w:rsidR="00BF62AF" w:rsidRPr="00EA0EA9" w:rsidRDefault="00BF62AF" w:rsidP="001802C4">
      <w:pPr>
        <w:rPr>
          <w:bCs/>
          <w:iCs/>
          <w:lang w:eastAsia="en-GB"/>
        </w:rPr>
      </w:pPr>
    </w:p>
    <w:p w14:paraId="1FF162D9" w14:textId="77777777" w:rsidR="00BF62AF" w:rsidRPr="00EA0EA9" w:rsidRDefault="00BF62AF" w:rsidP="001802C4">
      <w:pPr>
        <w:rPr>
          <w:bCs/>
          <w:iCs/>
          <w:lang w:eastAsia="en-GB"/>
        </w:rPr>
      </w:pPr>
    </w:p>
    <w:p w14:paraId="0A69ECFC" w14:textId="77777777" w:rsidR="00BF62AF" w:rsidRPr="00EA0EA9" w:rsidRDefault="00BF62AF" w:rsidP="001802C4">
      <w:pPr>
        <w:rPr>
          <w:bCs/>
          <w:iCs/>
          <w:lang w:eastAsia="en-GB"/>
        </w:rPr>
      </w:pPr>
    </w:p>
    <w:p w14:paraId="1CB54455" w14:textId="77777777" w:rsidR="00BF62AF" w:rsidRPr="00EA0EA9" w:rsidRDefault="00BF62AF" w:rsidP="001802C4">
      <w:pPr>
        <w:rPr>
          <w:bCs/>
          <w:iCs/>
          <w:lang w:eastAsia="en-GB"/>
        </w:rPr>
      </w:pPr>
    </w:p>
    <w:p w14:paraId="710B40F9" w14:textId="77777777" w:rsidR="00BF62AF" w:rsidRPr="00EA0EA9" w:rsidRDefault="00BF62AF" w:rsidP="001802C4">
      <w:pPr>
        <w:rPr>
          <w:bCs/>
          <w:iCs/>
          <w:lang w:eastAsia="en-GB"/>
        </w:rPr>
      </w:pPr>
    </w:p>
    <w:p w14:paraId="57C89754" w14:textId="77777777" w:rsidR="00BF62AF" w:rsidRPr="00EA0EA9" w:rsidRDefault="00BF62AF" w:rsidP="001802C4">
      <w:pPr>
        <w:rPr>
          <w:bCs/>
          <w:iCs/>
          <w:lang w:eastAsia="en-GB"/>
        </w:rPr>
      </w:pPr>
    </w:p>
    <w:p w14:paraId="4562498E" w14:textId="77777777" w:rsidR="00BF62AF" w:rsidRPr="00EA0EA9" w:rsidRDefault="00BF62AF" w:rsidP="001802C4">
      <w:pPr>
        <w:rPr>
          <w:bCs/>
          <w:iCs/>
          <w:lang w:eastAsia="en-GB"/>
        </w:rPr>
      </w:pPr>
    </w:p>
    <w:p w14:paraId="66ACB6D5" w14:textId="2ABFB98B" w:rsidR="001802C4" w:rsidRPr="00EA0EA9" w:rsidRDefault="001802C4" w:rsidP="001802C4">
      <w:pPr>
        <w:rPr>
          <w:rFonts w:ascii="Cambria" w:hAnsi="Cambria"/>
          <w:b/>
          <w:bCs/>
          <w:lang w:eastAsia="en-GB"/>
        </w:rPr>
      </w:pPr>
      <w:bookmarkStart w:id="13" w:name="_Toc476983990"/>
      <w:r w:rsidRPr="00DD317C">
        <w:rPr>
          <w:rFonts w:ascii="Cambria" w:hAnsi="Cambria"/>
          <w:b/>
          <w:bCs/>
          <w:lang w:eastAsia="en-GB"/>
        </w:rPr>
        <w:lastRenderedPageBreak/>
        <w:t xml:space="preserve">Figure </w:t>
      </w:r>
      <w:r w:rsidR="009D7BF7" w:rsidRPr="00DD317C">
        <w:rPr>
          <w:rFonts w:ascii="Cambria" w:hAnsi="Cambria"/>
          <w:b/>
          <w:bCs/>
          <w:lang w:eastAsia="en-GB"/>
        </w:rPr>
        <w:fldChar w:fldCharType="begin"/>
      </w:r>
      <w:r w:rsidRPr="00DD317C">
        <w:rPr>
          <w:rFonts w:ascii="Cambria" w:hAnsi="Cambria"/>
          <w:b/>
          <w:bCs/>
          <w:lang w:eastAsia="en-GB"/>
        </w:rPr>
        <w:instrText xml:space="preserve"> SEQ Figure \* ARABIC </w:instrText>
      </w:r>
      <w:r w:rsidR="009D7BF7" w:rsidRPr="00DD317C">
        <w:rPr>
          <w:rFonts w:ascii="Cambria" w:hAnsi="Cambria"/>
          <w:b/>
          <w:bCs/>
          <w:lang w:eastAsia="en-GB"/>
        </w:rPr>
        <w:fldChar w:fldCharType="separate"/>
      </w:r>
      <w:r w:rsidR="00FE7BEE">
        <w:rPr>
          <w:rFonts w:ascii="Cambria" w:hAnsi="Cambria"/>
          <w:b/>
          <w:bCs/>
          <w:noProof/>
          <w:lang w:eastAsia="en-GB"/>
        </w:rPr>
        <w:t>1</w:t>
      </w:r>
      <w:r w:rsidR="009D7BF7" w:rsidRPr="00DD317C">
        <w:rPr>
          <w:rFonts w:ascii="Cambria" w:hAnsi="Cambria"/>
          <w:lang w:eastAsia="en-GB"/>
        </w:rPr>
        <w:fldChar w:fldCharType="end"/>
      </w:r>
      <w:r w:rsidRPr="00DD317C">
        <w:rPr>
          <w:rFonts w:ascii="Cambria" w:hAnsi="Cambria"/>
          <w:b/>
          <w:bCs/>
          <w:lang w:eastAsia="en-GB"/>
        </w:rPr>
        <w:t>: Population Indicators</w:t>
      </w:r>
      <w:bookmarkEnd w:id="13"/>
    </w:p>
    <w:p w14:paraId="0AEEF8F3" w14:textId="77777777" w:rsidR="00103228" w:rsidRPr="00EA0EA9" w:rsidRDefault="00103228" w:rsidP="001802C4">
      <w:pPr>
        <w:rPr>
          <w:b/>
          <w:iCs/>
          <w:lang w:eastAsia="en-GB"/>
        </w:rPr>
      </w:pPr>
      <w:r w:rsidRPr="00EA0EA9">
        <w:rPr>
          <w:b/>
          <w:iCs/>
          <w:noProof/>
          <w:lang w:val="en-US"/>
        </w:rPr>
        <w:drawing>
          <wp:inline distT="0" distB="0" distL="0" distR="0" wp14:anchorId="5990FCA0" wp14:editId="1B9E1487">
            <wp:extent cx="5618088" cy="2947480"/>
            <wp:effectExtent l="38100" t="19050" r="40005" b="2476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0CD14784" w14:textId="77777777" w:rsidR="001802C4" w:rsidRPr="00EA0EA9" w:rsidRDefault="001802C4" w:rsidP="001802C4">
      <w:pPr>
        <w:rPr>
          <w:rFonts w:ascii="Cambria" w:hAnsi="Cambria"/>
          <w:bCs/>
          <w:lang w:eastAsia="en-GB"/>
        </w:rPr>
      </w:pPr>
      <w:r w:rsidRPr="00EA0EA9">
        <w:rPr>
          <w:bCs/>
          <w:lang w:eastAsia="en-GB"/>
        </w:rPr>
        <w:t xml:space="preserve">   </w:t>
      </w:r>
      <w:r w:rsidRPr="00EA0EA9">
        <w:rPr>
          <w:rFonts w:ascii="Cambria" w:hAnsi="Cambria"/>
          <w:bCs/>
          <w:lang w:eastAsia="en-GB"/>
        </w:rPr>
        <w:t>Source: Statistics SA: Mid-year population estimates - 2014</w:t>
      </w:r>
      <w:r w:rsidRPr="00EA0EA9">
        <w:rPr>
          <w:rFonts w:ascii="Cambria" w:hAnsi="Cambria"/>
          <w:bCs/>
          <w:vertAlign w:val="superscript"/>
          <w:lang w:eastAsia="en-GB"/>
        </w:rPr>
        <w:footnoteReference w:id="8"/>
      </w:r>
    </w:p>
    <w:p w14:paraId="53B14022" w14:textId="77777777" w:rsidR="001802C4" w:rsidRPr="00EA0EA9" w:rsidRDefault="001802C4" w:rsidP="001802C4">
      <w:pPr>
        <w:rPr>
          <w:bCs/>
          <w:i/>
          <w:iCs/>
          <w:lang w:eastAsia="en-GB"/>
        </w:rPr>
      </w:pPr>
    </w:p>
    <w:p w14:paraId="51F6467F" w14:textId="77777777" w:rsidR="001802C4" w:rsidRPr="00EA0EA9" w:rsidRDefault="001802C4" w:rsidP="001802C4">
      <w:pPr>
        <w:rPr>
          <w:bCs/>
          <w:i/>
          <w:iCs/>
          <w:lang w:eastAsia="en-GB"/>
        </w:rPr>
      </w:pPr>
    </w:p>
    <w:p w14:paraId="6FFB506C" w14:textId="4A935933" w:rsidR="001802C4" w:rsidRPr="00EA0EA9" w:rsidRDefault="001802C4" w:rsidP="001802C4">
      <w:pPr>
        <w:rPr>
          <w:rFonts w:ascii="Cambria" w:hAnsi="Cambria"/>
          <w:b/>
          <w:i/>
          <w:iCs/>
          <w:lang w:eastAsia="en-GB"/>
        </w:rPr>
      </w:pPr>
      <w:bookmarkStart w:id="14" w:name="_Toc476984140"/>
      <w:r w:rsidRPr="00EA0EA9">
        <w:rPr>
          <w:rFonts w:ascii="Cambria" w:hAnsi="Cambria"/>
          <w:b/>
          <w:bCs/>
          <w:lang w:eastAsia="en-GB"/>
        </w:rPr>
        <w:t xml:space="preserve">Table </w:t>
      </w:r>
      <w:r w:rsidR="009D7BF7" w:rsidRPr="00EA0EA9">
        <w:rPr>
          <w:rFonts w:ascii="Cambria" w:hAnsi="Cambria"/>
          <w:b/>
          <w:bCs/>
          <w:lang w:eastAsia="en-GB"/>
        </w:rPr>
        <w:fldChar w:fldCharType="begin"/>
      </w:r>
      <w:r w:rsidRPr="00EA0EA9">
        <w:rPr>
          <w:rFonts w:ascii="Cambria" w:hAnsi="Cambria"/>
          <w:b/>
          <w:bCs/>
          <w:lang w:eastAsia="en-GB"/>
        </w:rPr>
        <w:instrText xml:space="preserve"> SEQ Table \* ARABIC </w:instrText>
      </w:r>
      <w:r w:rsidR="009D7BF7" w:rsidRPr="00EA0EA9">
        <w:rPr>
          <w:rFonts w:ascii="Cambria" w:hAnsi="Cambria"/>
          <w:b/>
          <w:bCs/>
          <w:lang w:eastAsia="en-GB"/>
        </w:rPr>
        <w:fldChar w:fldCharType="separate"/>
      </w:r>
      <w:r w:rsidR="00533681">
        <w:rPr>
          <w:rFonts w:ascii="Cambria" w:hAnsi="Cambria"/>
          <w:b/>
          <w:bCs/>
          <w:noProof/>
          <w:lang w:eastAsia="en-GB"/>
        </w:rPr>
        <w:t>1</w:t>
      </w:r>
      <w:r w:rsidR="009D7BF7" w:rsidRPr="00EA0EA9">
        <w:rPr>
          <w:rFonts w:ascii="Cambria" w:hAnsi="Cambria"/>
          <w:lang w:eastAsia="en-GB"/>
        </w:rPr>
        <w:fldChar w:fldCharType="end"/>
      </w:r>
      <w:r w:rsidRPr="00EA0EA9">
        <w:rPr>
          <w:rFonts w:ascii="Cambria" w:hAnsi="Cambria"/>
          <w:b/>
          <w:bCs/>
          <w:lang w:eastAsia="en-GB"/>
        </w:rPr>
        <w:t>: Youth population (as % of total)</w:t>
      </w:r>
      <w:bookmarkEnd w:id="14"/>
    </w:p>
    <w:tbl>
      <w:tblPr>
        <w:tblW w:w="852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92D050"/>
        <w:tblLayout w:type="fixed"/>
        <w:tblLook w:val="04A0" w:firstRow="1" w:lastRow="0" w:firstColumn="1" w:lastColumn="0" w:noHBand="0" w:noVBand="1"/>
      </w:tblPr>
      <w:tblGrid>
        <w:gridCol w:w="1065"/>
        <w:gridCol w:w="1065"/>
        <w:gridCol w:w="1065"/>
        <w:gridCol w:w="1065"/>
        <w:gridCol w:w="1065"/>
        <w:gridCol w:w="1168"/>
        <w:gridCol w:w="963"/>
        <w:gridCol w:w="1066"/>
      </w:tblGrid>
      <w:tr w:rsidR="001802C4" w:rsidRPr="00EA0EA9" w14:paraId="1082226A" w14:textId="77777777" w:rsidTr="001802C4">
        <w:trPr>
          <w:trHeight w:val="243"/>
        </w:trPr>
        <w:tc>
          <w:tcPr>
            <w:tcW w:w="1065"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17493AB8" w14:textId="77777777" w:rsidR="001802C4" w:rsidRPr="00EA0EA9" w:rsidRDefault="001802C4" w:rsidP="001802C4">
            <w:pPr>
              <w:rPr>
                <w:bCs/>
                <w:lang w:eastAsia="en-GB"/>
              </w:rPr>
            </w:pPr>
            <w:r w:rsidRPr="00EA0EA9">
              <w:rPr>
                <w:b/>
                <w:bCs/>
                <w:lang w:eastAsia="en-GB"/>
              </w:rPr>
              <w:t>Age (</w:t>
            </w:r>
            <w:proofErr w:type="spellStart"/>
            <w:r w:rsidRPr="00EA0EA9">
              <w:rPr>
                <w:b/>
                <w:bCs/>
                <w:lang w:eastAsia="en-GB"/>
              </w:rPr>
              <w:t>yrs</w:t>
            </w:r>
            <w:proofErr w:type="spellEnd"/>
            <w:r w:rsidRPr="00EA0EA9">
              <w:rPr>
                <w:b/>
                <w:bCs/>
                <w:lang w:eastAsia="en-GB"/>
              </w:rPr>
              <w:t>)</w:t>
            </w:r>
          </w:p>
        </w:tc>
        <w:tc>
          <w:tcPr>
            <w:tcW w:w="1065"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6F5E6581" w14:textId="77777777" w:rsidR="001802C4" w:rsidRPr="00EA0EA9" w:rsidRDefault="001802C4" w:rsidP="001802C4">
            <w:pPr>
              <w:rPr>
                <w:bCs/>
                <w:lang w:eastAsia="en-GB"/>
              </w:rPr>
            </w:pPr>
            <w:r w:rsidRPr="00EA0EA9">
              <w:rPr>
                <w:b/>
                <w:bCs/>
                <w:lang w:eastAsia="en-GB"/>
              </w:rPr>
              <w:t>2008</w:t>
            </w:r>
          </w:p>
        </w:tc>
        <w:tc>
          <w:tcPr>
            <w:tcW w:w="1065"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1368FCB4" w14:textId="77777777" w:rsidR="001802C4" w:rsidRPr="00EA0EA9" w:rsidRDefault="001802C4" w:rsidP="001802C4">
            <w:pPr>
              <w:rPr>
                <w:bCs/>
                <w:lang w:eastAsia="en-GB"/>
              </w:rPr>
            </w:pPr>
            <w:r w:rsidRPr="00EA0EA9">
              <w:rPr>
                <w:b/>
                <w:bCs/>
                <w:lang w:eastAsia="en-GB"/>
              </w:rPr>
              <w:t>2009</w:t>
            </w:r>
          </w:p>
        </w:tc>
        <w:tc>
          <w:tcPr>
            <w:tcW w:w="1065"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3DB33C2A" w14:textId="77777777" w:rsidR="001802C4" w:rsidRPr="00EA0EA9" w:rsidRDefault="001802C4" w:rsidP="001802C4">
            <w:pPr>
              <w:rPr>
                <w:bCs/>
                <w:lang w:eastAsia="en-GB"/>
              </w:rPr>
            </w:pPr>
            <w:r w:rsidRPr="00EA0EA9">
              <w:rPr>
                <w:b/>
                <w:bCs/>
                <w:lang w:eastAsia="en-GB"/>
              </w:rPr>
              <w:t>2010</w:t>
            </w:r>
          </w:p>
        </w:tc>
        <w:tc>
          <w:tcPr>
            <w:tcW w:w="1065"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2017E8A2" w14:textId="77777777" w:rsidR="001802C4" w:rsidRPr="00EA0EA9" w:rsidRDefault="001802C4" w:rsidP="001802C4">
            <w:pPr>
              <w:rPr>
                <w:bCs/>
                <w:lang w:eastAsia="en-GB"/>
              </w:rPr>
            </w:pPr>
            <w:r w:rsidRPr="00EA0EA9">
              <w:rPr>
                <w:b/>
                <w:bCs/>
                <w:lang w:eastAsia="en-GB"/>
              </w:rPr>
              <w:t>2011</w:t>
            </w:r>
          </w:p>
        </w:tc>
        <w:tc>
          <w:tcPr>
            <w:tcW w:w="1168"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50444C5E" w14:textId="77777777" w:rsidR="001802C4" w:rsidRPr="00EA0EA9" w:rsidRDefault="001802C4" w:rsidP="001802C4">
            <w:pPr>
              <w:rPr>
                <w:bCs/>
                <w:lang w:eastAsia="en-GB"/>
              </w:rPr>
            </w:pPr>
            <w:r w:rsidRPr="00EA0EA9">
              <w:rPr>
                <w:b/>
                <w:bCs/>
                <w:lang w:eastAsia="en-GB"/>
              </w:rPr>
              <w:t>2012</w:t>
            </w:r>
          </w:p>
        </w:tc>
        <w:tc>
          <w:tcPr>
            <w:tcW w:w="963"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673290DB" w14:textId="77777777" w:rsidR="001802C4" w:rsidRPr="00EA0EA9" w:rsidRDefault="001802C4" w:rsidP="001802C4">
            <w:pPr>
              <w:rPr>
                <w:bCs/>
                <w:lang w:eastAsia="en-GB"/>
              </w:rPr>
            </w:pPr>
            <w:r w:rsidRPr="00EA0EA9">
              <w:rPr>
                <w:b/>
                <w:bCs/>
                <w:lang w:eastAsia="en-GB"/>
              </w:rPr>
              <w:t>2013</w:t>
            </w:r>
          </w:p>
        </w:tc>
        <w:tc>
          <w:tcPr>
            <w:tcW w:w="1066"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19EC122E" w14:textId="77777777" w:rsidR="001802C4" w:rsidRPr="00EA0EA9" w:rsidRDefault="001802C4" w:rsidP="001802C4">
            <w:pPr>
              <w:rPr>
                <w:bCs/>
                <w:lang w:eastAsia="en-GB"/>
              </w:rPr>
            </w:pPr>
            <w:r w:rsidRPr="00EA0EA9">
              <w:rPr>
                <w:b/>
                <w:bCs/>
                <w:lang w:eastAsia="en-GB"/>
              </w:rPr>
              <w:t>2014</w:t>
            </w:r>
          </w:p>
        </w:tc>
      </w:tr>
      <w:tr w:rsidR="001802C4" w:rsidRPr="00EA0EA9" w14:paraId="399BCB69" w14:textId="77777777" w:rsidTr="001802C4">
        <w:trPr>
          <w:trHeight w:val="236"/>
        </w:trPr>
        <w:tc>
          <w:tcPr>
            <w:tcW w:w="1065"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6B6EFCB8" w14:textId="77777777" w:rsidR="001802C4" w:rsidRPr="00EA0EA9" w:rsidRDefault="001802C4" w:rsidP="001802C4">
            <w:pPr>
              <w:rPr>
                <w:bCs/>
                <w:lang w:eastAsia="en-GB"/>
              </w:rPr>
            </w:pPr>
            <w:r w:rsidRPr="00EA0EA9">
              <w:rPr>
                <w:bCs/>
                <w:lang w:eastAsia="en-GB"/>
              </w:rPr>
              <w:t xml:space="preserve">15-19 </w:t>
            </w:r>
          </w:p>
        </w:tc>
        <w:tc>
          <w:tcPr>
            <w:tcW w:w="1065"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1BE2123C" w14:textId="77777777" w:rsidR="001802C4" w:rsidRPr="00EA0EA9" w:rsidRDefault="001802C4" w:rsidP="001802C4">
            <w:pPr>
              <w:rPr>
                <w:bCs/>
                <w:lang w:eastAsia="en-GB"/>
              </w:rPr>
            </w:pPr>
            <w:r w:rsidRPr="00EA0EA9">
              <w:rPr>
                <w:bCs/>
                <w:lang w:eastAsia="en-GB"/>
              </w:rPr>
              <w:t>4 989</w:t>
            </w:r>
          </w:p>
        </w:tc>
        <w:tc>
          <w:tcPr>
            <w:tcW w:w="1065"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4AE25725" w14:textId="77777777" w:rsidR="001802C4" w:rsidRPr="00EA0EA9" w:rsidRDefault="001802C4" w:rsidP="001802C4">
            <w:pPr>
              <w:rPr>
                <w:bCs/>
                <w:lang w:eastAsia="en-GB"/>
              </w:rPr>
            </w:pPr>
            <w:r w:rsidRPr="00EA0EA9">
              <w:rPr>
                <w:bCs/>
                <w:lang w:eastAsia="en-GB"/>
              </w:rPr>
              <w:t>5 047</w:t>
            </w:r>
          </w:p>
        </w:tc>
        <w:tc>
          <w:tcPr>
            <w:tcW w:w="1065"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68360DFD" w14:textId="77777777" w:rsidR="001802C4" w:rsidRPr="00EA0EA9" w:rsidRDefault="001802C4" w:rsidP="001802C4">
            <w:pPr>
              <w:rPr>
                <w:bCs/>
                <w:lang w:eastAsia="en-GB"/>
              </w:rPr>
            </w:pPr>
            <w:r w:rsidRPr="00EA0EA9">
              <w:rPr>
                <w:bCs/>
                <w:lang w:eastAsia="en-GB"/>
              </w:rPr>
              <w:t>5 095</w:t>
            </w:r>
          </w:p>
        </w:tc>
        <w:tc>
          <w:tcPr>
            <w:tcW w:w="1065"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7CC3A428" w14:textId="77777777" w:rsidR="001802C4" w:rsidRPr="00EA0EA9" w:rsidRDefault="001802C4" w:rsidP="001802C4">
            <w:pPr>
              <w:rPr>
                <w:bCs/>
                <w:lang w:eastAsia="en-GB"/>
              </w:rPr>
            </w:pPr>
            <w:r w:rsidRPr="00EA0EA9">
              <w:rPr>
                <w:bCs/>
                <w:lang w:eastAsia="en-GB"/>
              </w:rPr>
              <w:t>5 130</w:t>
            </w:r>
          </w:p>
        </w:tc>
        <w:tc>
          <w:tcPr>
            <w:tcW w:w="1168"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787D9F65" w14:textId="77777777" w:rsidR="001802C4" w:rsidRPr="00EA0EA9" w:rsidRDefault="001802C4" w:rsidP="001802C4">
            <w:pPr>
              <w:rPr>
                <w:bCs/>
                <w:lang w:eastAsia="en-GB"/>
              </w:rPr>
            </w:pPr>
            <w:r w:rsidRPr="00EA0EA9">
              <w:rPr>
                <w:bCs/>
                <w:lang w:eastAsia="en-GB"/>
              </w:rPr>
              <w:t>5 156</w:t>
            </w:r>
          </w:p>
        </w:tc>
        <w:tc>
          <w:tcPr>
            <w:tcW w:w="963"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0658D21E" w14:textId="77777777" w:rsidR="001802C4" w:rsidRPr="00EA0EA9" w:rsidRDefault="001802C4" w:rsidP="001802C4">
            <w:pPr>
              <w:rPr>
                <w:bCs/>
                <w:lang w:eastAsia="en-GB"/>
              </w:rPr>
            </w:pPr>
            <w:r w:rsidRPr="00EA0EA9">
              <w:rPr>
                <w:bCs/>
                <w:lang w:eastAsia="en-GB"/>
              </w:rPr>
              <w:t>5 167</w:t>
            </w:r>
          </w:p>
        </w:tc>
        <w:tc>
          <w:tcPr>
            <w:tcW w:w="1066"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18817615" w14:textId="77777777" w:rsidR="001802C4" w:rsidRPr="00EA0EA9" w:rsidRDefault="001802C4" w:rsidP="001802C4">
            <w:pPr>
              <w:rPr>
                <w:bCs/>
                <w:lang w:eastAsia="en-GB"/>
              </w:rPr>
            </w:pPr>
            <w:r w:rsidRPr="00EA0EA9">
              <w:rPr>
                <w:bCs/>
                <w:lang w:eastAsia="en-GB"/>
              </w:rPr>
              <w:t>5 164</w:t>
            </w:r>
          </w:p>
        </w:tc>
      </w:tr>
      <w:tr w:rsidR="001802C4" w:rsidRPr="00EA0EA9" w14:paraId="70AD05FB" w14:textId="77777777" w:rsidTr="001802C4">
        <w:trPr>
          <w:trHeight w:val="301"/>
        </w:trPr>
        <w:tc>
          <w:tcPr>
            <w:tcW w:w="1065"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28D7556F" w14:textId="77777777" w:rsidR="001802C4" w:rsidRPr="00EA0EA9" w:rsidRDefault="001802C4" w:rsidP="001802C4">
            <w:pPr>
              <w:rPr>
                <w:bCs/>
                <w:lang w:eastAsia="en-GB"/>
              </w:rPr>
            </w:pPr>
            <w:r w:rsidRPr="00EA0EA9">
              <w:rPr>
                <w:bCs/>
                <w:lang w:eastAsia="en-GB"/>
              </w:rPr>
              <w:t xml:space="preserve">20-24 </w:t>
            </w:r>
          </w:p>
        </w:tc>
        <w:tc>
          <w:tcPr>
            <w:tcW w:w="1065"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67F55871" w14:textId="77777777" w:rsidR="001802C4" w:rsidRPr="00EA0EA9" w:rsidRDefault="001802C4" w:rsidP="001802C4">
            <w:pPr>
              <w:rPr>
                <w:bCs/>
                <w:lang w:eastAsia="en-GB"/>
              </w:rPr>
            </w:pPr>
            <w:r w:rsidRPr="00EA0EA9">
              <w:rPr>
                <w:bCs/>
                <w:lang w:eastAsia="en-GB"/>
              </w:rPr>
              <w:t>4 704</w:t>
            </w:r>
          </w:p>
        </w:tc>
        <w:tc>
          <w:tcPr>
            <w:tcW w:w="1065"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4A4ECE14" w14:textId="77777777" w:rsidR="001802C4" w:rsidRPr="00EA0EA9" w:rsidRDefault="001802C4" w:rsidP="001802C4">
            <w:pPr>
              <w:rPr>
                <w:bCs/>
                <w:lang w:eastAsia="en-GB"/>
              </w:rPr>
            </w:pPr>
            <w:r w:rsidRPr="00EA0EA9">
              <w:rPr>
                <w:bCs/>
                <w:lang w:eastAsia="en-GB"/>
              </w:rPr>
              <w:t>4 752</w:t>
            </w:r>
          </w:p>
        </w:tc>
        <w:tc>
          <w:tcPr>
            <w:tcW w:w="1065"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4C44A5BD" w14:textId="77777777" w:rsidR="001802C4" w:rsidRPr="00EA0EA9" w:rsidRDefault="001802C4" w:rsidP="001802C4">
            <w:pPr>
              <w:rPr>
                <w:bCs/>
                <w:lang w:eastAsia="en-GB"/>
              </w:rPr>
            </w:pPr>
            <w:r w:rsidRPr="00EA0EA9">
              <w:rPr>
                <w:bCs/>
                <w:lang w:eastAsia="en-GB"/>
              </w:rPr>
              <w:t>4 806</w:t>
            </w:r>
          </w:p>
        </w:tc>
        <w:tc>
          <w:tcPr>
            <w:tcW w:w="1065"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009720A6" w14:textId="77777777" w:rsidR="001802C4" w:rsidRPr="00EA0EA9" w:rsidRDefault="001802C4" w:rsidP="001802C4">
            <w:pPr>
              <w:rPr>
                <w:bCs/>
                <w:lang w:eastAsia="en-GB"/>
              </w:rPr>
            </w:pPr>
            <w:r w:rsidRPr="00EA0EA9">
              <w:rPr>
                <w:bCs/>
                <w:lang w:eastAsia="en-GB"/>
              </w:rPr>
              <w:t>4 871</w:t>
            </w:r>
          </w:p>
        </w:tc>
        <w:tc>
          <w:tcPr>
            <w:tcW w:w="1168"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40CC43BE" w14:textId="77777777" w:rsidR="001802C4" w:rsidRPr="00EA0EA9" w:rsidRDefault="001802C4" w:rsidP="001802C4">
            <w:pPr>
              <w:rPr>
                <w:bCs/>
                <w:lang w:eastAsia="en-GB"/>
              </w:rPr>
            </w:pPr>
            <w:r w:rsidRPr="00EA0EA9">
              <w:rPr>
                <w:bCs/>
                <w:lang w:eastAsia="en-GB"/>
              </w:rPr>
              <w:t>4 940</w:t>
            </w:r>
          </w:p>
        </w:tc>
        <w:tc>
          <w:tcPr>
            <w:tcW w:w="963"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774F95C8" w14:textId="77777777" w:rsidR="001802C4" w:rsidRPr="00EA0EA9" w:rsidRDefault="001802C4" w:rsidP="001802C4">
            <w:pPr>
              <w:rPr>
                <w:bCs/>
                <w:lang w:eastAsia="en-GB"/>
              </w:rPr>
            </w:pPr>
            <w:r w:rsidRPr="00EA0EA9">
              <w:rPr>
                <w:bCs/>
                <w:lang w:eastAsia="en-GB"/>
              </w:rPr>
              <w:t>5 009</w:t>
            </w:r>
          </w:p>
        </w:tc>
        <w:tc>
          <w:tcPr>
            <w:tcW w:w="1066"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43320315" w14:textId="77777777" w:rsidR="001802C4" w:rsidRPr="00EA0EA9" w:rsidRDefault="001802C4" w:rsidP="001802C4">
            <w:pPr>
              <w:rPr>
                <w:bCs/>
                <w:lang w:eastAsia="en-GB"/>
              </w:rPr>
            </w:pPr>
            <w:r w:rsidRPr="00EA0EA9">
              <w:rPr>
                <w:bCs/>
                <w:lang w:eastAsia="en-GB"/>
              </w:rPr>
              <w:t>5 075</w:t>
            </w:r>
          </w:p>
        </w:tc>
      </w:tr>
      <w:tr w:rsidR="001802C4" w:rsidRPr="00EA0EA9" w14:paraId="5729B456" w14:textId="77777777" w:rsidTr="001802C4">
        <w:trPr>
          <w:trHeight w:val="393"/>
        </w:trPr>
        <w:tc>
          <w:tcPr>
            <w:tcW w:w="1065"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38CB67B8" w14:textId="77777777" w:rsidR="001802C4" w:rsidRPr="00EA0EA9" w:rsidRDefault="001802C4" w:rsidP="001802C4">
            <w:pPr>
              <w:rPr>
                <w:bCs/>
                <w:lang w:eastAsia="en-GB"/>
              </w:rPr>
            </w:pPr>
            <w:r w:rsidRPr="00EA0EA9">
              <w:rPr>
                <w:bCs/>
                <w:lang w:eastAsia="en-GB"/>
              </w:rPr>
              <w:t xml:space="preserve">25-29 </w:t>
            </w:r>
          </w:p>
        </w:tc>
        <w:tc>
          <w:tcPr>
            <w:tcW w:w="1065"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6E56C94B" w14:textId="77777777" w:rsidR="001802C4" w:rsidRPr="00EA0EA9" w:rsidRDefault="001802C4" w:rsidP="001802C4">
            <w:pPr>
              <w:rPr>
                <w:bCs/>
                <w:lang w:eastAsia="en-GB"/>
              </w:rPr>
            </w:pPr>
            <w:r w:rsidRPr="00EA0EA9">
              <w:rPr>
                <w:bCs/>
                <w:lang w:eastAsia="en-GB"/>
              </w:rPr>
              <w:t>4441</w:t>
            </w:r>
          </w:p>
        </w:tc>
        <w:tc>
          <w:tcPr>
            <w:tcW w:w="1065"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12753F14" w14:textId="77777777" w:rsidR="001802C4" w:rsidRPr="00EA0EA9" w:rsidRDefault="001802C4" w:rsidP="001802C4">
            <w:pPr>
              <w:rPr>
                <w:bCs/>
                <w:lang w:eastAsia="en-GB"/>
              </w:rPr>
            </w:pPr>
            <w:r w:rsidRPr="00EA0EA9">
              <w:rPr>
                <w:bCs/>
                <w:lang w:eastAsia="en-GB"/>
              </w:rPr>
              <w:t>4 515</w:t>
            </w:r>
          </w:p>
        </w:tc>
        <w:tc>
          <w:tcPr>
            <w:tcW w:w="1065"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3701AD6B" w14:textId="3BB935E0" w:rsidR="001802C4" w:rsidRPr="00EA0EA9" w:rsidRDefault="001802C4" w:rsidP="001802C4">
            <w:pPr>
              <w:rPr>
                <w:bCs/>
                <w:lang w:eastAsia="en-GB"/>
              </w:rPr>
            </w:pPr>
            <w:r w:rsidRPr="00EA0EA9">
              <w:rPr>
                <w:bCs/>
                <w:lang w:eastAsia="en-GB"/>
              </w:rPr>
              <w:t>4 508</w:t>
            </w:r>
          </w:p>
        </w:tc>
        <w:tc>
          <w:tcPr>
            <w:tcW w:w="1065"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5666C2D4" w14:textId="77777777" w:rsidR="001802C4" w:rsidRPr="00EA0EA9" w:rsidRDefault="001802C4" w:rsidP="001802C4">
            <w:pPr>
              <w:rPr>
                <w:bCs/>
                <w:lang w:eastAsia="en-GB"/>
              </w:rPr>
            </w:pPr>
            <w:r w:rsidRPr="00EA0EA9">
              <w:rPr>
                <w:bCs/>
                <w:lang w:eastAsia="en-GB"/>
              </w:rPr>
              <w:t>4635</w:t>
            </w:r>
          </w:p>
        </w:tc>
        <w:tc>
          <w:tcPr>
            <w:tcW w:w="1168"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3F4D1A81" w14:textId="77777777" w:rsidR="001802C4" w:rsidRPr="00EA0EA9" w:rsidRDefault="001802C4" w:rsidP="001802C4">
            <w:pPr>
              <w:rPr>
                <w:bCs/>
                <w:lang w:eastAsia="en-GB"/>
              </w:rPr>
            </w:pPr>
            <w:r w:rsidRPr="00EA0EA9">
              <w:rPr>
                <w:bCs/>
                <w:lang w:eastAsia="en-GB"/>
              </w:rPr>
              <w:t>4 688</w:t>
            </w:r>
          </w:p>
        </w:tc>
        <w:tc>
          <w:tcPr>
            <w:tcW w:w="963"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0BFE9864" w14:textId="77777777" w:rsidR="001802C4" w:rsidRPr="00EA0EA9" w:rsidRDefault="001802C4" w:rsidP="001802C4">
            <w:pPr>
              <w:rPr>
                <w:bCs/>
                <w:lang w:eastAsia="en-GB"/>
              </w:rPr>
            </w:pPr>
            <w:r w:rsidRPr="00EA0EA9">
              <w:rPr>
                <w:bCs/>
                <w:lang w:eastAsia="en-GB"/>
              </w:rPr>
              <w:t>4 744</w:t>
            </w:r>
          </w:p>
        </w:tc>
        <w:tc>
          <w:tcPr>
            <w:tcW w:w="1066"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4128D96B" w14:textId="77777777" w:rsidR="001802C4" w:rsidRPr="00EA0EA9" w:rsidRDefault="001802C4" w:rsidP="001802C4">
            <w:pPr>
              <w:rPr>
                <w:bCs/>
                <w:lang w:eastAsia="en-GB"/>
              </w:rPr>
            </w:pPr>
            <w:r w:rsidRPr="00EA0EA9">
              <w:rPr>
                <w:bCs/>
                <w:lang w:eastAsia="en-GB"/>
              </w:rPr>
              <w:t>4 806</w:t>
            </w:r>
          </w:p>
        </w:tc>
      </w:tr>
      <w:tr w:rsidR="001802C4" w:rsidRPr="00EA0EA9" w14:paraId="617F2DF3" w14:textId="77777777" w:rsidTr="001802C4">
        <w:trPr>
          <w:trHeight w:val="243"/>
        </w:trPr>
        <w:tc>
          <w:tcPr>
            <w:tcW w:w="1065"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75F8389B" w14:textId="77777777" w:rsidR="001802C4" w:rsidRPr="00EA0EA9" w:rsidRDefault="001802C4" w:rsidP="001802C4">
            <w:pPr>
              <w:rPr>
                <w:bCs/>
                <w:lang w:eastAsia="en-GB"/>
              </w:rPr>
            </w:pPr>
            <w:r w:rsidRPr="00EA0EA9">
              <w:rPr>
                <w:bCs/>
                <w:lang w:eastAsia="en-GB"/>
              </w:rPr>
              <w:t>30-3</w:t>
            </w:r>
          </w:p>
        </w:tc>
        <w:tc>
          <w:tcPr>
            <w:tcW w:w="1065"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4EA08BB1" w14:textId="77777777" w:rsidR="001802C4" w:rsidRPr="00EA0EA9" w:rsidRDefault="001802C4" w:rsidP="001802C4">
            <w:pPr>
              <w:rPr>
                <w:bCs/>
                <w:lang w:eastAsia="en-GB"/>
              </w:rPr>
            </w:pPr>
            <w:r w:rsidRPr="00EA0EA9">
              <w:rPr>
                <w:bCs/>
                <w:lang w:eastAsia="en-GB"/>
              </w:rPr>
              <w:t>4 075</w:t>
            </w:r>
          </w:p>
        </w:tc>
        <w:tc>
          <w:tcPr>
            <w:tcW w:w="1065"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001BE909" w14:textId="77777777" w:rsidR="001802C4" w:rsidRPr="00EA0EA9" w:rsidRDefault="001802C4" w:rsidP="001802C4">
            <w:pPr>
              <w:rPr>
                <w:bCs/>
                <w:lang w:eastAsia="en-GB"/>
              </w:rPr>
            </w:pPr>
            <w:r w:rsidRPr="00EA0EA9">
              <w:rPr>
                <w:bCs/>
                <w:lang w:eastAsia="en-GB"/>
              </w:rPr>
              <w:t>4 091</w:t>
            </w:r>
          </w:p>
        </w:tc>
        <w:tc>
          <w:tcPr>
            <w:tcW w:w="1065"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49C7A8AE" w14:textId="77777777" w:rsidR="001802C4" w:rsidRPr="00EA0EA9" w:rsidRDefault="001802C4" w:rsidP="001802C4">
            <w:pPr>
              <w:rPr>
                <w:bCs/>
                <w:lang w:eastAsia="en-GB"/>
              </w:rPr>
            </w:pPr>
            <w:r w:rsidRPr="00EA0EA9">
              <w:rPr>
                <w:bCs/>
                <w:lang w:eastAsia="en-GB"/>
              </w:rPr>
              <w:t>4 127</w:t>
            </w:r>
          </w:p>
        </w:tc>
        <w:tc>
          <w:tcPr>
            <w:tcW w:w="1065"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0B9EEDB6" w14:textId="77777777" w:rsidR="001802C4" w:rsidRPr="00EA0EA9" w:rsidRDefault="001802C4" w:rsidP="001802C4">
            <w:pPr>
              <w:rPr>
                <w:bCs/>
                <w:lang w:eastAsia="en-GB"/>
              </w:rPr>
            </w:pPr>
            <w:r w:rsidRPr="00EA0EA9">
              <w:rPr>
                <w:bCs/>
                <w:lang w:eastAsia="en-GB"/>
              </w:rPr>
              <w:t>4 188</w:t>
            </w:r>
          </w:p>
        </w:tc>
        <w:tc>
          <w:tcPr>
            <w:tcW w:w="1168"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6B122074" w14:textId="77777777" w:rsidR="001802C4" w:rsidRPr="00EA0EA9" w:rsidRDefault="001802C4" w:rsidP="001802C4">
            <w:pPr>
              <w:rPr>
                <w:bCs/>
                <w:lang w:eastAsia="en-GB"/>
              </w:rPr>
            </w:pPr>
            <w:r w:rsidRPr="00EA0EA9">
              <w:rPr>
                <w:bCs/>
                <w:lang w:eastAsia="en-GB"/>
              </w:rPr>
              <w:t>4 269</w:t>
            </w:r>
          </w:p>
        </w:tc>
        <w:tc>
          <w:tcPr>
            <w:tcW w:w="963"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3173EAF7" w14:textId="77777777" w:rsidR="001802C4" w:rsidRPr="00EA0EA9" w:rsidRDefault="001802C4" w:rsidP="001802C4">
            <w:pPr>
              <w:rPr>
                <w:bCs/>
                <w:lang w:eastAsia="en-GB"/>
              </w:rPr>
            </w:pPr>
            <w:r w:rsidRPr="00EA0EA9">
              <w:rPr>
                <w:bCs/>
                <w:lang w:eastAsia="en-GB"/>
              </w:rPr>
              <w:t>4 363</w:t>
            </w:r>
          </w:p>
        </w:tc>
        <w:tc>
          <w:tcPr>
            <w:tcW w:w="1066"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4709E411" w14:textId="77777777" w:rsidR="001802C4" w:rsidRPr="00EA0EA9" w:rsidRDefault="001802C4" w:rsidP="001802C4">
            <w:pPr>
              <w:rPr>
                <w:bCs/>
                <w:lang w:eastAsia="en-GB"/>
              </w:rPr>
            </w:pPr>
            <w:r w:rsidRPr="00EA0EA9">
              <w:rPr>
                <w:bCs/>
                <w:lang w:eastAsia="en-GB"/>
              </w:rPr>
              <w:t>4 460</w:t>
            </w:r>
          </w:p>
        </w:tc>
      </w:tr>
      <w:tr w:rsidR="001802C4" w:rsidRPr="00EA0EA9" w14:paraId="2BA34FF6" w14:textId="77777777" w:rsidTr="001802C4">
        <w:trPr>
          <w:trHeight w:val="243"/>
        </w:trPr>
        <w:tc>
          <w:tcPr>
            <w:tcW w:w="1065"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6712B1F2" w14:textId="77777777" w:rsidR="001802C4" w:rsidRPr="00EA0EA9" w:rsidRDefault="001802C4" w:rsidP="001802C4">
            <w:pPr>
              <w:rPr>
                <w:bCs/>
                <w:lang w:eastAsia="en-GB"/>
              </w:rPr>
            </w:pPr>
            <w:r w:rsidRPr="00EA0EA9">
              <w:rPr>
                <w:b/>
                <w:bCs/>
                <w:lang w:eastAsia="en-GB"/>
              </w:rPr>
              <w:t>Total</w:t>
            </w:r>
          </w:p>
        </w:tc>
        <w:tc>
          <w:tcPr>
            <w:tcW w:w="1065"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5341759E" w14:textId="77777777" w:rsidR="001802C4" w:rsidRPr="00EA0EA9" w:rsidRDefault="001802C4" w:rsidP="001802C4">
            <w:pPr>
              <w:rPr>
                <w:bCs/>
                <w:lang w:eastAsia="en-GB"/>
              </w:rPr>
            </w:pPr>
            <w:r w:rsidRPr="00EA0EA9">
              <w:rPr>
                <w:b/>
                <w:bCs/>
                <w:lang w:eastAsia="en-GB"/>
              </w:rPr>
              <w:t>18 209</w:t>
            </w:r>
          </w:p>
        </w:tc>
        <w:tc>
          <w:tcPr>
            <w:tcW w:w="1065"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114A0D09" w14:textId="77777777" w:rsidR="001802C4" w:rsidRPr="00EA0EA9" w:rsidRDefault="001802C4" w:rsidP="001802C4">
            <w:pPr>
              <w:rPr>
                <w:bCs/>
                <w:lang w:eastAsia="en-GB"/>
              </w:rPr>
            </w:pPr>
            <w:r w:rsidRPr="00EA0EA9">
              <w:rPr>
                <w:b/>
                <w:bCs/>
                <w:lang w:eastAsia="en-GB"/>
              </w:rPr>
              <w:t>18 405</w:t>
            </w:r>
          </w:p>
        </w:tc>
        <w:tc>
          <w:tcPr>
            <w:tcW w:w="1065"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60E2D58E" w14:textId="77777777" w:rsidR="001802C4" w:rsidRPr="00EA0EA9" w:rsidRDefault="001802C4" w:rsidP="001802C4">
            <w:pPr>
              <w:rPr>
                <w:bCs/>
                <w:lang w:eastAsia="en-GB"/>
              </w:rPr>
            </w:pPr>
            <w:r w:rsidRPr="00EA0EA9">
              <w:rPr>
                <w:b/>
                <w:bCs/>
                <w:lang w:eastAsia="en-GB"/>
              </w:rPr>
              <w:t>18 536</w:t>
            </w:r>
          </w:p>
        </w:tc>
        <w:tc>
          <w:tcPr>
            <w:tcW w:w="1065"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792786C5" w14:textId="77777777" w:rsidR="001802C4" w:rsidRPr="00EA0EA9" w:rsidRDefault="001802C4" w:rsidP="001802C4">
            <w:pPr>
              <w:rPr>
                <w:bCs/>
                <w:lang w:eastAsia="en-GB"/>
              </w:rPr>
            </w:pPr>
            <w:r w:rsidRPr="00EA0EA9">
              <w:rPr>
                <w:b/>
                <w:bCs/>
                <w:lang w:eastAsia="en-GB"/>
              </w:rPr>
              <w:t>18 824</w:t>
            </w:r>
          </w:p>
        </w:tc>
        <w:tc>
          <w:tcPr>
            <w:tcW w:w="1168"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7C6A19C4" w14:textId="77777777" w:rsidR="001802C4" w:rsidRPr="00EA0EA9" w:rsidRDefault="001802C4" w:rsidP="001802C4">
            <w:pPr>
              <w:rPr>
                <w:bCs/>
                <w:lang w:eastAsia="en-GB"/>
              </w:rPr>
            </w:pPr>
            <w:r w:rsidRPr="00EA0EA9">
              <w:rPr>
                <w:b/>
                <w:bCs/>
                <w:lang w:eastAsia="en-GB"/>
              </w:rPr>
              <w:t>19 053</w:t>
            </w:r>
          </w:p>
        </w:tc>
        <w:tc>
          <w:tcPr>
            <w:tcW w:w="963"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0D6B6B1E" w14:textId="77777777" w:rsidR="001802C4" w:rsidRPr="00EA0EA9" w:rsidRDefault="001802C4" w:rsidP="001802C4">
            <w:pPr>
              <w:rPr>
                <w:bCs/>
                <w:lang w:eastAsia="en-GB"/>
              </w:rPr>
            </w:pPr>
            <w:r w:rsidRPr="00EA0EA9">
              <w:rPr>
                <w:b/>
                <w:bCs/>
                <w:lang w:eastAsia="en-GB"/>
              </w:rPr>
              <w:t>19 283</w:t>
            </w:r>
          </w:p>
        </w:tc>
        <w:tc>
          <w:tcPr>
            <w:tcW w:w="1066" w:type="dxa"/>
            <w:tcBorders>
              <w:top w:val="single" w:sz="4" w:space="0" w:color="000000"/>
              <w:left w:val="single" w:sz="4" w:space="0" w:color="000000"/>
              <w:bottom w:val="single" w:sz="4" w:space="0" w:color="000000"/>
              <w:right w:val="single" w:sz="4" w:space="0" w:color="000000"/>
            </w:tcBorders>
            <w:shd w:val="clear" w:color="auto" w:fill="92D050"/>
            <w:tcMar>
              <w:top w:w="80" w:type="dxa"/>
              <w:left w:w="80" w:type="dxa"/>
              <w:bottom w:w="80" w:type="dxa"/>
              <w:right w:w="80" w:type="dxa"/>
            </w:tcMar>
          </w:tcPr>
          <w:p w14:paraId="6CF91B90" w14:textId="77777777" w:rsidR="001802C4" w:rsidRPr="00EA0EA9" w:rsidRDefault="001802C4" w:rsidP="001802C4">
            <w:pPr>
              <w:rPr>
                <w:bCs/>
                <w:lang w:eastAsia="en-GB"/>
              </w:rPr>
            </w:pPr>
            <w:r w:rsidRPr="00EA0EA9">
              <w:rPr>
                <w:b/>
                <w:bCs/>
                <w:lang w:eastAsia="en-GB"/>
              </w:rPr>
              <w:t>19 505</w:t>
            </w:r>
          </w:p>
        </w:tc>
      </w:tr>
    </w:tbl>
    <w:p w14:paraId="333F5288" w14:textId="77777777" w:rsidR="001802C4" w:rsidRPr="00EA0EA9" w:rsidRDefault="001802C4" w:rsidP="001802C4">
      <w:pPr>
        <w:rPr>
          <w:rFonts w:ascii="Cambria" w:hAnsi="Cambria"/>
          <w:bCs/>
          <w:sz w:val="22"/>
          <w:lang w:eastAsia="en-GB"/>
        </w:rPr>
      </w:pPr>
      <w:r w:rsidRPr="00EA0EA9">
        <w:rPr>
          <w:rFonts w:ascii="Cambria" w:hAnsi="Cambria"/>
          <w:bCs/>
          <w:sz w:val="22"/>
          <w:lang w:eastAsia="en-GB"/>
        </w:rPr>
        <w:t>Source: Statistics South Africa, 2014</w:t>
      </w:r>
    </w:p>
    <w:p w14:paraId="1F4DEDCC" w14:textId="77777777" w:rsidR="001802C4" w:rsidRPr="00EA0EA9" w:rsidRDefault="001802C4" w:rsidP="001802C4">
      <w:pPr>
        <w:rPr>
          <w:bCs/>
          <w:lang w:eastAsia="en-GB"/>
        </w:rPr>
      </w:pPr>
    </w:p>
    <w:p w14:paraId="0BA85C0B" w14:textId="77777777" w:rsidR="001802C4" w:rsidRPr="00EA0EA9" w:rsidRDefault="001802C4" w:rsidP="00083705">
      <w:pPr>
        <w:spacing w:line="276" w:lineRule="auto"/>
        <w:jc w:val="both"/>
        <w:rPr>
          <w:rFonts w:ascii="Cambria" w:hAnsi="Cambria"/>
          <w:bCs/>
          <w:lang w:eastAsia="en-GB"/>
        </w:rPr>
      </w:pPr>
      <w:r w:rsidRPr="00EA0EA9">
        <w:rPr>
          <w:rFonts w:ascii="Cambria" w:hAnsi="Cambria"/>
          <w:bCs/>
          <w:lang w:eastAsia="en-GB"/>
        </w:rPr>
        <w:t>Furthermore, South Africa is the largest recipient of migrants and the refugees from the rest of the African continent, especially its immediate neighbours. The social and economic ramifications of this historical influx of migrant labour, asylum seekers and refugees remain under-researched and documented. Equally so, the benefits are often obscured in the ethno-nationalist politics of ‘</w:t>
      </w:r>
      <w:r w:rsidRPr="00EA0EA9">
        <w:rPr>
          <w:rFonts w:ascii="Cambria" w:hAnsi="Cambria"/>
          <w:bCs/>
          <w:i/>
          <w:lang w:eastAsia="en-GB"/>
        </w:rPr>
        <w:t>us and them’</w:t>
      </w:r>
      <w:r w:rsidRPr="00EA0EA9">
        <w:rPr>
          <w:rFonts w:ascii="Cambria" w:hAnsi="Cambria"/>
          <w:bCs/>
          <w:lang w:eastAsia="en-GB"/>
        </w:rPr>
        <w:t xml:space="preserve"> that informed the xenophobic attacks against black foreign nationals in 2008 and 2013, respectively. An enquiry into how South Africa deals with child rights issues is by extension an enquiry into how it deals with children of migrants, asylum seekers and refugees,</w:t>
      </w:r>
      <w:r w:rsidR="0086112C" w:rsidRPr="00EA0EA9">
        <w:rPr>
          <w:rFonts w:ascii="Cambria" w:hAnsi="Cambria"/>
          <w:bCs/>
          <w:lang w:eastAsia="en-GB"/>
        </w:rPr>
        <w:t xml:space="preserve"> </w:t>
      </w:r>
      <w:r w:rsidRPr="00EA0EA9">
        <w:rPr>
          <w:rFonts w:ascii="Cambria" w:hAnsi="Cambria"/>
          <w:bCs/>
          <w:lang w:eastAsia="en-GB"/>
        </w:rPr>
        <w:t>rather all children within its territory. It is also by implication an enquiry into how the neighbouring Southern African Development Community</w:t>
      </w:r>
      <w:r w:rsidR="00BF4E82" w:rsidRPr="00EA0EA9">
        <w:rPr>
          <w:rFonts w:ascii="Cambria" w:hAnsi="Cambria"/>
          <w:bCs/>
          <w:lang w:eastAsia="en-GB"/>
        </w:rPr>
        <w:t xml:space="preserve"> </w:t>
      </w:r>
      <w:r w:rsidR="00083705" w:rsidRPr="00EA0EA9">
        <w:rPr>
          <w:rFonts w:ascii="Cambria" w:hAnsi="Cambria"/>
          <w:bCs/>
          <w:lang w:eastAsia="en-GB"/>
        </w:rPr>
        <w:t xml:space="preserve">(SADC) </w:t>
      </w:r>
      <w:r w:rsidRPr="00EA0EA9">
        <w:rPr>
          <w:rFonts w:ascii="Cambria" w:hAnsi="Cambria"/>
          <w:bCs/>
          <w:lang w:eastAsia="en-GB"/>
        </w:rPr>
        <w:t xml:space="preserve">countries deal with child rights within their respective territories. Data on Child migration suggests that the country-specific child </w:t>
      </w:r>
      <w:r w:rsidRPr="00EA0EA9">
        <w:rPr>
          <w:rFonts w:ascii="Cambria" w:hAnsi="Cambria"/>
          <w:bCs/>
          <w:lang w:eastAsia="en-GB"/>
        </w:rPr>
        <w:lastRenderedPageBreak/>
        <w:t>rights issues within SADC have significant ramifications for the ability and capacity of South Africa to holistically and comprehensively address its own child rights obligations under International and domestic law.</w:t>
      </w:r>
    </w:p>
    <w:p w14:paraId="54DFB68F" w14:textId="77777777" w:rsidR="00025098" w:rsidRPr="00EA0EA9" w:rsidRDefault="00025098" w:rsidP="006A2E59">
      <w:pPr>
        <w:pStyle w:val="Heading2"/>
        <w:numPr>
          <w:ilvl w:val="1"/>
          <w:numId w:val="75"/>
        </w:numPr>
        <w:rPr>
          <w:color w:val="C00000"/>
          <w:sz w:val="28"/>
          <w:lang w:eastAsia="en-GB"/>
        </w:rPr>
      </w:pPr>
      <w:bookmarkStart w:id="15" w:name="_Toc476983579"/>
      <w:r w:rsidRPr="00EA0EA9">
        <w:rPr>
          <w:color w:val="C00000"/>
          <w:sz w:val="28"/>
          <w:lang w:eastAsia="en-GB"/>
        </w:rPr>
        <w:t>Constitutional Protection of Child Rights</w:t>
      </w:r>
      <w:bookmarkEnd w:id="15"/>
      <w:r w:rsidRPr="00EA0EA9">
        <w:rPr>
          <w:color w:val="C00000"/>
          <w:sz w:val="28"/>
          <w:lang w:eastAsia="en-GB"/>
        </w:rPr>
        <w:t xml:space="preserve"> </w:t>
      </w:r>
    </w:p>
    <w:p w14:paraId="256B7E5E" w14:textId="77777777" w:rsidR="00025098" w:rsidRPr="00EA0EA9" w:rsidRDefault="00025098" w:rsidP="00083705">
      <w:pPr>
        <w:spacing w:line="276" w:lineRule="auto"/>
        <w:jc w:val="both"/>
        <w:rPr>
          <w:rFonts w:ascii="Cambria" w:hAnsi="Cambria"/>
          <w:bCs/>
          <w:lang w:eastAsia="en-GB"/>
        </w:rPr>
      </w:pPr>
      <w:r w:rsidRPr="00EA0EA9">
        <w:rPr>
          <w:rFonts w:ascii="Cambria" w:hAnsi="Cambria"/>
          <w:bCs/>
          <w:lang w:eastAsia="en-GB"/>
        </w:rPr>
        <w:t>Section 28 in the Constitution of South Africa</w:t>
      </w:r>
      <w:r w:rsidRPr="00EA0EA9">
        <w:rPr>
          <w:rFonts w:ascii="Cambria" w:hAnsi="Cambria"/>
          <w:bCs/>
          <w:vertAlign w:val="superscript"/>
          <w:lang w:eastAsia="en-GB"/>
        </w:rPr>
        <w:footnoteReference w:id="9"/>
      </w:r>
      <w:r w:rsidRPr="00EA0EA9">
        <w:rPr>
          <w:rFonts w:ascii="Cambria" w:hAnsi="Cambria"/>
          <w:bCs/>
          <w:lang w:eastAsia="en-GB"/>
        </w:rPr>
        <w:t xml:space="preserve"> outlines the rights of the child, that is, South African citizens under the age of 8 years.  The section recognizes the following rights:</w:t>
      </w:r>
    </w:p>
    <w:p w14:paraId="27DB9DA3" w14:textId="77777777" w:rsidR="00025098" w:rsidRPr="00EA0EA9" w:rsidRDefault="00025098" w:rsidP="00DC1FDA">
      <w:pPr>
        <w:numPr>
          <w:ilvl w:val="0"/>
          <w:numId w:val="55"/>
        </w:numPr>
        <w:jc w:val="both"/>
        <w:rPr>
          <w:rFonts w:ascii="Cambria" w:hAnsi="Cambria"/>
          <w:b/>
          <w:bCs/>
          <w:i/>
          <w:lang w:eastAsia="en-GB"/>
        </w:rPr>
      </w:pPr>
      <w:r w:rsidRPr="00EA0EA9">
        <w:rPr>
          <w:rFonts w:ascii="Cambria" w:hAnsi="Cambria"/>
          <w:b/>
          <w:bCs/>
          <w:i/>
          <w:lang w:eastAsia="en-GB"/>
        </w:rPr>
        <w:t xml:space="preserve">Every child has the </w:t>
      </w:r>
      <w:proofErr w:type="gramStart"/>
      <w:r w:rsidRPr="00EA0EA9">
        <w:rPr>
          <w:rFonts w:ascii="Cambria" w:hAnsi="Cambria"/>
          <w:b/>
          <w:bCs/>
          <w:i/>
          <w:lang w:eastAsia="en-GB"/>
        </w:rPr>
        <w:t>right:-</w:t>
      </w:r>
      <w:proofErr w:type="gramEnd"/>
    </w:p>
    <w:p w14:paraId="2F3B469D" w14:textId="77777777" w:rsidR="00025098" w:rsidRPr="00EA0EA9" w:rsidRDefault="00025098" w:rsidP="00DC1FDA">
      <w:pPr>
        <w:numPr>
          <w:ilvl w:val="1"/>
          <w:numId w:val="55"/>
        </w:numPr>
        <w:jc w:val="both"/>
        <w:rPr>
          <w:rFonts w:ascii="Cambria" w:hAnsi="Cambria"/>
          <w:bCs/>
          <w:lang w:eastAsia="en-GB"/>
        </w:rPr>
      </w:pPr>
      <w:r w:rsidRPr="00EA0EA9">
        <w:rPr>
          <w:rFonts w:ascii="Cambria" w:hAnsi="Cambria"/>
          <w:bCs/>
          <w:lang w:eastAsia="en-GB"/>
        </w:rPr>
        <w:t>To a name and a nationality from birth;</w:t>
      </w:r>
    </w:p>
    <w:p w14:paraId="6F4A9FA4" w14:textId="0A54184B" w:rsidR="00025098" w:rsidRPr="00631591" w:rsidRDefault="00025098" w:rsidP="00B42BFB">
      <w:pPr>
        <w:numPr>
          <w:ilvl w:val="1"/>
          <w:numId w:val="55"/>
        </w:numPr>
        <w:jc w:val="both"/>
        <w:rPr>
          <w:rFonts w:ascii="Cambria" w:hAnsi="Cambria"/>
          <w:bCs/>
          <w:lang w:eastAsia="en-GB"/>
        </w:rPr>
      </w:pPr>
      <w:r w:rsidRPr="00631591">
        <w:rPr>
          <w:rFonts w:ascii="Cambria" w:hAnsi="Cambria"/>
          <w:bCs/>
          <w:lang w:eastAsia="en-GB"/>
        </w:rPr>
        <w:t>To family care or parental care, or to appropriate alternative care when removed from family environment;</w:t>
      </w:r>
      <w:r w:rsidR="00631591">
        <w:rPr>
          <w:rFonts w:ascii="Cambria" w:hAnsi="Cambria"/>
          <w:bCs/>
          <w:lang w:eastAsia="en-GB"/>
        </w:rPr>
        <w:t xml:space="preserve"> t</w:t>
      </w:r>
      <w:r w:rsidRPr="00631591">
        <w:rPr>
          <w:rFonts w:ascii="Cambria" w:hAnsi="Cambria"/>
          <w:bCs/>
          <w:lang w:eastAsia="en-GB"/>
        </w:rPr>
        <w:t>o basic nutrition, shelter, basic health care services and social services;</w:t>
      </w:r>
    </w:p>
    <w:p w14:paraId="1CDB4254" w14:textId="77777777" w:rsidR="00025098" w:rsidRPr="00EA0EA9" w:rsidRDefault="00025098" w:rsidP="00DC1FDA">
      <w:pPr>
        <w:numPr>
          <w:ilvl w:val="1"/>
          <w:numId w:val="55"/>
        </w:numPr>
        <w:jc w:val="both"/>
        <w:rPr>
          <w:rFonts w:ascii="Cambria" w:hAnsi="Cambria"/>
          <w:bCs/>
          <w:lang w:eastAsia="en-GB"/>
        </w:rPr>
      </w:pPr>
      <w:r w:rsidRPr="00EA0EA9">
        <w:rPr>
          <w:rFonts w:ascii="Cambria" w:hAnsi="Cambria"/>
          <w:bCs/>
          <w:lang w:eastAsia="en-GB"/>
        </w:rPr>
        <w:t>To be protected from maltreatment, neglect, abuse or degradation;</w:t>
      </w:r>
    </w:p>
    <w:p w14:paraId="228C4BC9" w14:textId="77777777" w:rsidR="00025098" w:rsidRPr="00EA0EA9" w:rsidRDefault="00025098" w:rsidP="00DC1FDA">
      <w:pPr>
        <w:numPr>
          <w:ilvl w:val="1"/>
          <w:numId w:val="55"/>
        </w:numPr>
        <w:jc w:val="both"/>
        <w:rPr>
          <w:rFonts w:ascii="Cambria" w:hAnsi="Cambria"/>
          <w:bCs/>
          <w:lang w:eastAsia="en-GB"/>
        </w:rPr>
      </w:pPr>
      <w:r w:rsidRPr="00EA0EA9">
        <w:rPr>
          <w:rFonts w:ascii="Cambria" w:hAnsi="Cambria"/>
          <w:bCs/>
          <w:lang w:eastAsia="en-GB"/>
        </w:rPr>
        <w:t>To be protected from exploitative labour practices;</w:t>
      </w:r>
    </w:p>
    <w:p w14:paraId="7B442B7E" w14:textId="77777777" w:rsidR="00025098" w:rsidRPr="00EA0EA9" w:rsidRDefault="00025098" w:rsidP="00DC1FDA">
      <w:pPr>
        <w:numPr>
          <w:ilvl w:val="1"/>
          <w:numId w:val="55"/>
        </w:numPr>
        <w:jc w:val="both"/>
        <w:rPr>
          <w:rFonts w:ascii="Cambria" w:hAnsi="Cambria"/>
          <w:bCs/>
          <w:lang w:eastAsia="en-GB"/>
        </w:rPr>
      </w:pPr>
      <w:r w:rsidRPr="00EA0EA9">
        <w:rPr>
          <w:rFonts w:ascii="Cambria" w:hAnsi="Cambria"/>
          <w:bCs/>
          <w:lang w:eastAsia="en-GB"/>
        </w:rPr>
        <w:t>Not to be required or permitted to perform work or provide services that:</w:t>
      </w:r>
    </w:p>
    <w:p w14:paraId="014579F0" w14:textId="77777777" w:rsidR="00025098" w:rsidRPr="00EA0EA9" w:rsidRDefault="00025098" w:rsidP="00DC1FDA">
      <w:pPr>
        <w:numPr>
          <w:ilvl w:val="2"/>
          <w:numId w:val="55"/>
        </w:numPr>
        <w:jc w:val="both"/>
        <w:rPr>
          <w:rFonts w:ascii="Cambria" w:hAnsi="Cambria"/>
          <w:bCs/>
          <w:lang w:eastAsia="en-GB"/>
        </w:rPr>
      </w:pPr>
      <w:r w:rsidRPr="00EA0EA9">
        <w:rPr>
          <w:rFonts w:ascii="Cambria" w:hAnsi="Cambria"/>
          <w:bCs/>
          <w:lang w:eastAsia="en-GB"/>
        </w:rPr>
        <w:t>Are appropriate for a person of that child’s age; or</w:t>
      </w:r>
    </w:p>
    <w:p w14:paraId="616394B9" w14:textId="77777777" w:rsidR="00025098" w:rsidRPr="00EA0EA9" w:rsidRDefault="00025098" w:rsidP="00DC1FDA">
      <w:pPr>
        <w:numPr>
          <w:ilvl w:val="2"/>
          <w:numId w:val="55"/>
        </w:numPr>
        <w:jc w:val="both"/>
        <w:rPr>
          <w:rFonts w:ascii="Cambria" w:hAnsi="Cambria"/>
          <w:bCs/>
          <w:lang w:eastAsia="en-GB"/>
        </w:rPr>
      </w:pPr>
      <w:r w:rsidRPr="00EA0EA9">
        <w:rPr>
          <w:rFonts w:ascii="Cambria" w:hAnsi="Cambria"/>
          <w:bCs/>
          <w:lang w:eastAsia="en-GB"/>
        </w:rPr>
        <w:t>Place at risk the child’s well-being, education, physical or mental health or spiritual, moral or social development;</w:t>
      </w:r>
    </w:p>
    <w:p w14:paraId="444D6150" w14:textId="02C17CC5" w:rsidR="00025098" w:rsidRPr="00EA0EA9" w:rsidRDefault="00025098" w:rsidP="00DC1FDA">
      <w:pPr>
        <w:numPr>
          <w:ilvl w:val="1"/>
          <w:numId w:val="55"/>
        </w:numPr>
        <w:jc w:val="both"/>
        <w:rPr>
          <w:rFonts w:ascii="Cambria" w:hAnsi="Cambria"/>
          <w:bCs/>
          <w:lang w:eastAsia="en-GB"/>
        </w:rPr>
      </w:pPr>
      <w:r w:rsidRPr="00EA0EA9">
        <w:rPr>
          <w:rFonts w:ascii="Cambria" w:hAnsi="Cambria"/>
          <w:bCs/>
          <w:lang w:eastAsia="en-GB"/>
        </w:rPr>
        <w:t xml:space="preserve">Not to be detained except as a measure of last resort, in which case, in addition to the rights </w:t>
      </w:r>
      <w:r w:rsidR="00D633ED">
        <w:rPr>
          <w:rFonts w:ascii="Cambria" w:hAnsi="Cambria"/>
          <w:bCs/>
          <w:lang w:eastAsia="en-GB"/>
        </w:rPr>
        <w:t>a child enjoys under section 12</w:t>
      </w:r>
      <w:r w:rsidRPr="00EA0EA9">
        <w:rPr>
          <w:rFonts w:ascii="Cambria" w:hAnsi="Cambria"/>
          <w:bCs/>
          <w:lang w:eastAsia="en-GB"/>
        </w:rPr>
        <w:t xml:space="preserve"> and 35, the child may be detained only for the </w:t>
      </w:r>
      <w:r w:rsidR="00CF40A1" w:rsidRPr="00EA0EA9">
        <w:rPr>
          <w:rFonts w:ascii="Cambria" w:hAnsi="Cambria"/>
          <w:bCs/>
          <w:lang w:eastAsia="en-GB"/>
        </w:rPr>
        <w:t>shortest appropriate</w:t>
      </w:r>
      <w:r w:rsidRPr="00EA0EA9">
        <w:rPr>
          <w:rFonts w:ascii="Cambria" w:hAnsi="Cambria"/>
          <w:bCs/>
          <w:lang w:eastAsia="en-GB"/>
        </w:rPr>
        <w:t xml:space="preserve"> period of time, and has the right to </w:t>
      </w:r>
      <w:proofErr w:type="gramStart"/>
      <w:r w:rsidRPr="00EA0EA9">
        <w:rPr>
          <w:rFonts w:ascii="Cambria" w:hAnsi="Cambria"/>
          <w:bCs/>
          <w:lang w:eastAsia="en-GB"/>
        </w:rPr>
        <w:t>be:-</w:t>
      </w:r>
      <w:proofErr w:type="gramEnd"/>
    </w:p>
    <w:p w14:paraId="679B12C7" w14:textId="77777777" w:rsidR="00025098" w:rsidRPr="00EA0EA9" w:rsidRDefault="00025098" w:rsidP="00DC1FDA">
      <w:pPr>
        <w:numPr>
          <w:ilvl w:val="2"/>
          <w:numId w:val="55"/>
        </w:numPr>
        <w:jc w:val="both"/>
        <w:rPr>
          <w:rFonts w:ascii="Cambria" w:hAnsi="Cambria"/>
          <w:bCs/>
          <w:lang w:eastAsia="en-GB"/>
        </w:rPr>
      </w:pPr>
      <w:r w:rsidRPr="00EA0EA9">
        <w:rPr>
          <w:rFonts w:ascii="Cambria" w:hAnsi="Cambria"/>
          <w:bCs/>
          <w:lang w:eastAsia="en-GB"/>
        </w:rPr>
        <w:t>Kept separately from detained persons over the age of 18 years; and</w:t>
      </w:r>
    </w:p>
    <w:p w14:paraId="432C3888" w14:textId="77777777" w:rsidR="00025098" w:rsidRPr="00EA0EA9" w:rsidRDefault="00025098" w:rsidP="00DC1FDA">
      <w:pPr>
        <w:numPr>
          <w:ilvl w:val="2"/>
          <w:numId w:val="55"/>
        </w:numPr>
        <w:jc w:val="both"/>
        <w:rPr>
          <w:rFonts w:ascii="Cambria" w:hAnsi="Cambria"/>
          <w:bCs/>
          <w:lang w:eastAsia="en-GB"/>
        </w:rPr>
      </w:pPr>
      <w:r w:rsidRPr="00EA0EA9">
        <w:rPr>
          <w:rFonts w:ascii="Cambria" w:hAnsi="Cambria"/>
          <w:bCs/>
          <w:lang w:eastAsia="en-GB"/>
        </w:rPr>
        <w:t>Treated in a manner, and kept in conditions, that take into account the child’s age;</w:t>
      </w:r>
    </w:p>
    <w:p w14:paraId="128183E3" w14:textId="2F82515E" w:rsidR="00025098" w:rsidRPr="00EA0EA9" w:rsidRDefault="00025098" w:rsidP="00DC1FDA">
      <w:pPr>
        <w:numPr>
          <w:ilvl w:val="1"/>
          <w:numId w:val="55"/>
        </w:numPr>
        <w:jc w:val="both"/>
        <w:rPr>
          <w:rFonts w:ascii="Cambria" w:hAnsi="Cambria"/>
          <w:bCs/>
          <w:lang w:eastAsia="en-GB"/>
        </w:rPr>
      </w:pPr>
      <w:r w:rsidRPr="00EA0EA9">
        <w:rPr>
          <w:rFonts w:ascii="Cambria" w:hAnsi="Cambria"/>
          <w:bCs/>
          <w:lang w:eastAsia="en-GB"/>
        </w:rPr>
        <w:t xml:space="preserve">To have a legal practitioner assigned to the child by the State, and at State expense, in civil proceedings affecting the child, if substantial injustice would otherwise result; and </w:t>
      </w:r>
    </w:p>
    <w:p w14:paraId="0DAD6413" w14:textId="77777777" w:rsidR="00025098" w:rsidRPr="00EA0EA9" w:rsidRDefault="00025098" w:rsidP="00DC1FDA">
      <w:pPr>
        <w:numPr>
          <w:ilvl w:val="1"/>
          <w:numId w:val="55"/>
        </w:numPr>
        <w:jc w:val="both"/>
        <w:rPr>
          <w:rFonts w:ascii="Cambria" w:hAnsi="Cambria"/>
          <w:bCs/>
          <w:lang w:eastAsia="en-GB"/>
        </w:rPr>
      </w:pPr>
      <w:r w:rsidRPr="00EA0EA9">
        <w:rPr>
          <w:rFonts w:ascii="Cambria" w:hAnsi="Cambria"/>
          <w:bCs/>
          <w:lang w:eastAsia="en-GB"/>
        </w:rPr>
        <w:t>Not to be used directly in armed conflict, and to be protected in times of armed conflict;</w:t>
      </w:r>
    </w:p>
    <w:p w14:paraId="4FE4E0C1" w14:textId="77777777" w:rsidR="00B24F4C" w:rsidRPr="00EA0EA9" w:rsidRDefault="00B24F4C" w:rsidP="00B24F4C">
      <w:pPr>
        <w:ind w:left="1440"/>
        <w:jc w:val="both"/>
        <w:rPr>
          <w:rFonts w:ascii="Cambria" w:hAnsi="Cambria"/>
          <w:bCs/>
          <w:lang w:eastAsia="en-GB"/>
        </w:rPr>
      </w:pPr>
    </w:p>
    <w:p w14:paraId="1A8F1A44" w14:textId="77777777" w:rsidR="00025098" w:rsidRPr="00EA0EA9" w:rsidRDefault="00025098" w:rsidP="00DC1FDA">
      <w:pPr>
        <w:numPr>
          <w:ilvl w:val="0"/>
          <w:numId w:val="55"/>
        </w:numPr>
        <w:jc w:val="both"/>
        <w:rPr>
          <w:rFonts w:ascii="Cambria" w:hAnsi="Cambria"/>
          <w:b/>
          <w:bCs/>
          <w:i/>
          <w:lang w:eastAsia="en-GB"/>
        </w:rPr>
      </w:pPr>
      <w:r w:rsidRPr="00EA0EA9">
        <w:rPr>
          <w:rFonts w:ascii="Cambria" w:hAnsi="Cambria"/>
          <w:b/>
          <w:bCs/>
          <w:i/>
          <w:lang w:eastAsia="en-GB"/>
        </w:rPr>
        <w:t xml:space="preserve">A child’s best interests are of paramount importance in every matter concerning the child </w:t>
      </w:r>
    </w:p>
    <w:p w14:paraId="7EEF677C" w14:textId="77777777" w:rsidR="00025098" w:rsidRPr="00EA0EA9" w:rsidRDefault="00025098" w:rsidP="00DC1FDA">
      <w:pPr>
        <w:jc w:val="both"/>
        <w:rPr>
          <w:rFonts w:ascii="Cambria" w:hAnsi="Cambria"/>
          <w:bCs/>
          <w:lang w:eastAsia="en-GB"/>
        </w:rPr>
      </w:pPr>
      <w:r w:rsidRPr="00EA0EA9">
        <w:rPr>
          <w:rFonts w:ascii="Cambria" w:hAnsi="Cambria"/>
          <w:bCs/>
          <w:lang w:eastAsia="en-GB"/>
        </w:rPr>
        <w:t>The law in South Africa creates the following specific rights and responsibilities</w:t>
      </w:r>
      <w:r w:rsidRPr="00EA0EA9">
        <w:rPr>
          <w:rFonts w:ascii="Cambria" w:hAnsi="Cambria"/>
          <w:bCs/>
          <w:vertAlign w:val="superscript"/>
          <w:lang w:eastAsia="en-GB"/>
        </w:rPr>
        <w:footnoteReference w:id="10"/>
      </w:r>
      <w:r w:rsidRPr="00EA0EA9">
        <w:rPr>
          <w:rFonts w:ascii="Cambria" w:hAnsi="Cambria"/>
          <w:bCs/>
          <w:lang w:eastAsia="en-GB"/>
        </w:rPr>
        <w:t>:</w:t>
      </w:r>
    </w:p>
    <w:p w14:paraId="4161F682" w14:textId="77777777" w:rsidR="00025098" w:rsidRPr="00EA0EA9" w:rsidRDefault="00025098" w:rsidP="00DC1FDA">
      <w:pPr>
        <w:numPr>
          <w:ilvl w:val="0"/>
          <w:numId w:val="56"/>
        </w:numPr>
        <w:jc w:val="both"/>
        <w:rPr>
          <w:rFonts w:ascii="Cambria" w:hAnsi="Cambria"/>
          <w:bCs/>
          <w:lang w:eastAsia="en-GB"/>
        </w:rPr>
      </w:pPr>
      <w:r w:rsidRPr="00EA0EA9">
        <w:rPr>
          <w:rFonts w:ascii="Cambria" w:hAnsi="Cambria"/>
          <w:bCs/>
          <w:lang w:eastAsia="en-GB"/>
        </w:rPr>
        <w:t>Children have the right to be taken seriously and the responsibility to listen to others</w:t>
      </w:r>
    </w:p>
    <w:p w14:paraId="663AB9CF" w14:textId="77777777" w:rsidR="00025098" w:rsidRPr="00EA0EA9" w:rsidRDefault="00025098" w:rsidP="00DC1FDA">
      <w:pPr>
        <w:numPr>
          <w:ilvl w:val="0"/>
          <w:numId w:val="56"/>
        </w:numPr>
        <w:jc w:val="both"/>
        <w:rPr>
          <w:rFonts w:ascii="Cambria" w:hAnsi="Cambria"/>
          <w:bCs/>
          <w:lang w:eastAsia="en-GB"/>
        </w:rPr>
      </w:pPr>
      <w:r w:rsidRPr="00EA0EA9">
        <w:rPr>
          <w:rFonts w:ascii="Cambria" w:hAnsi="Cambria"/>
          <w:bCs/>
          <w:lang w:eastAsia="en-GB"/>
        </w:rPr>
        <w:t xml:space="preserve">Children have the right to quality medical care and the responsibility to take care of themselves </w:t>
      </w:r>
    </w:p>
    <w:p w14:paraId="75F71935" w14:textId="77777777" w:rsidR="00025098" w:rsidRPr="00EA0EA9" w:rsidRDefault="00025098" w:rsidP="00DC1FDA">
      <w:pPr>
        <w:numPr>
          <w:ilvl w:val="0"/>
          <w:numId w:val="56"/>
        </w:numPr>
        <w:jc w:val="both"/>
        <w:rPr>
          <w:rFonts w:ascii="Cambria" w:hAnsi="Cambria"/>
          <w:bCs/>
          <w:lang w:eastAsia="en-GB"/>
        </w:rPr>
      </w:pPr>
      <w:r w:rsidRPr="00EA0EA9">
        <w:rPr>
          <w:rFonts w:ascii="Cambria" w:hAnsi="Cambria"/>
          <w:bCs/>
          <w:lang w:eastAsia="en-GB"/>
        </w:rPr>
        <w:t>Children have the right to a good education and the responsibility to study and respect their teachers</w:t>
      </w:r>
    </w:p>
    <w:p w14:paraId="238EEC62" w14:textId="77777777" w:rsidR="00025098" w:rsidRPr="00EA0EA9" w:rsidRDefault="00025098" w:rsidP="00DC1FDA">
      <w:pPr>
        <w:numPr>
          <w:ilvl w:val="0"/>
          <w:numId w:val="56"/>
        </w:numPr>
        <w:jc w:val="both"/>
        <w:rPr>
          <w:rFonts w:ascii="Cambria" w:hAnsi="Cambria"/>
          <w:bCs/>
          <w:lang w:eastAsia="en-GB"/>
        </w:rPr>
      </w:pPr>
      <w:r w:rsidRPr="00EA0EA9">
        <w:rPr>
          <w:rFonts w:ascii="Cambria" w:hAnsi="Cambria"/>
          <w:bCs/>
          <w:lang w:eastAsia="en-GB"/>
        </w:rPr>
        <w:t>Children have the right to be loved and protected from harm and the responsibility to show love and caring to others</w:t>
      </w:r>
    </w:p>
    <w:p w14:paraId="3D0F3542" w14:textId="77777777" w:rsidR="00025098" w:rsidRPr="00EA0EA9" w:rsidRDefault="00025098" w:rsidP="00DC1FDA">
      <w:pPr>
        <w:numPr>
          <w:ilvl w:val="0"/>
          <w:numId w:val="56"/>
        </w:numPr>
        <w:jc w:val="both"/>
        <w:rPr>
          <w:rFonts w:ascii="Cambria" w:hAnsi="Cambria"/>
          <w:bCs/>
          <w:lang w:eastAsia="en-GB"/>
        </w:rPr>
      </w:pPr>
      <w:r w:rsidRPr="00EA0EA9">
        <w:rPr>
          <w:rFonts w:ascii="Cambria" w:hAnsi="Cambria"/>
          <w:bCs/>
          <w:lang w:eastAsia="en-GB"/>
        </w:rPr>
        <w:t>Children have the right to be proud of their heritage and beliefs and the responsibility respect the origins and beliefs of others</w:t>
      </w:r>
    </w:p>
    <w:p w14:paraId="0B7AEDA9" w14:textId="77777777" w:rsidR="00025098" w:rsidRPr="00EA0EA9" w:rsidRDefault="00025098" w:rsidP="00DC1FDA">
      <w:pPr>
        <w:numPr>
          <w:ilvl w:val="0"/>
          <w:numId w:val="56"/>
        </w:numPr>
        <w:jc w:val="both"/>
        <w:rPr>
          <w:rFonts w:ascii="Cambria" w:hAnsi="Cambria"/>
          <w:bCs/>
          <w:lang w:eastAsia="en-GB"/>
        </w:rPr>
      </w:pPr>
      <w:r w:rsidRPr="00EA0EA9">
        <w:rPr>
          <w:rFonts w:ascii="Cambria" w:hAnsi="Cambria"/>
          <w:bCs/>
          <w:lang w:eastAsia="en-GB"/>
        </w:rPr>
        <w:lastRenderedPageBreak/>
        <w:t>Children have the right to a safe and comfortable home and the responsibility to share in keeping it neat and clean</w:t>
      </w:r>
    </w:p>
    <w:p w14:paraId="05FC2738" w14:textId="77777777" w:rsidR="00025098" w:rsidRPr="00EA0EA9" w:rsidRDefault="00025098" w:rsidP="00DC1FDA">
      <w:pPr>
        <w:numPr>
          <w:ilvl w:val="0"/>
          <w:numId w:val="56"/>
        </w:numPr>
        <w:jc w:val="both"/>
        <w:rPr>
          <w:rFonts w:ascii="Cambria" w:hAnsi="Cambria"/>
          <w:bCs/>
          <w:lang w:eastAsia="en-GB"/>
        </w:rPr>
      </w:pPr>
      <w:r w:rsidRPr="00EA0EA9">
        <w:rPr>
          <w:rFonts w:ascii="Cambria" w:hAnsi="Cambria"/>
          <w:bCs/>
          <w:lang w:eastAsia="en-GB"/>
        </w:rPr>
        <w:t>Children have the right to make mistakes and the responsibility to learn from those mistakes</w:t>
      </w:r>
    </w:p>
    <w:p w14:paraId="35793303" w14:textId="77777777" w:rsidR="00025098" w:rsidRPr="00EA0EA9" w:rsidRDefault="00025098" w:rsidP="00DC1FDA">
      <w:pPr>
        <w:numPr>
          <w:ilvl w:val="0"/>
          <w:numId w:val="56"/>
        </w:numPr>
        <w:jc w:val="both"/>
        <w:rPr>
          <w:rFonts w:ascii="Cambria" w:hAnsi="Cambria"/>
          <w:bCs/>
          <w:lang w:eastAsia="en-GB"/>
        </w:rPr>
      </w:pPr>
      <w:r w:rsidRPr="00EA0EA9">
        <w:rPr>
          <w:rFonts w:ascii="Cambria" w:hAnsi="Cambria"/>
          <w:bCs/>
          <w:lang w:eastAsia="en-GB"/>
        </w:rPr>
        <w:t xml:space="preserve">Children have the right to adequately fed and the responsibility not to waste food </w:t>
      </w:r>
    </w:p>
    <w:p w14:paraId="05A6BF41" w14:textId="77777777" w:rsidR="00025098" w:rsidRPr="00EA0EA9" w:rsidRDefault="00025098" w:rsidP="00DC1FDA">
      <w:pPr>
        <w:jc w:val="both"/>
        <w:rPr>
          <w:rFonts w:ascii="Cambria" w:hAnsi="Cambria"/>
          <w:bCs/>
          <w:lang w:eastAsia="en-GB"/>
        </w:rPr>
      </w:pPr>
    </w:p>
    <w:p w14:paraId="6903C6D3" w14:textId="30C781F2" w:rsidR="00025098" w:rsidRPr="00EA0EA9" w:rsidRDefault="00025098" w:rsidP="00083705">
      <w:pPr>
        <w:spacing w:line="276" w:lineRule="auto"/>
        <w:jc w:val="both"/>
        <w:rPr>
          <w:rFonts w:ascii="Cambria" w:hAnsi="Cambria"/>
          <w:bCs/>
          <w:lang w:eastAsia="en-GB"/>
        </w:rPr>
      </w:pPr>
      <w:r w:rsidRPr="00EA0EA9">
        <w:rPr>
          <w:rFonts w:ascii="Cambria" w:hAnsi="Cambria"/>
          <w:bCs/>
          <w:lang w:eastAsia="en-GB"/>
        </w:rPr>
        <w:t>As shall be demonstrate</w:t>
      </w:r>
      <w:r w:rsidR="007D38C6" w:rsidRPr="00EA0EA9">
        <w:rPr>
          <w:rFonts w:ascii="Cambria" w:hAnsi="Cambria"/>
          <w:bCs/>
          <w:lang w:eastAsia="en-GB"/>
        </w:rPr>
        <w:t>d below</w:t>
      </w:r>
      <w:r w:rsidRPr="00EA0EA9">
        <w:rPr>
          <w:rFonts w:ascii="Cambria" w:hAnsi="Cambria"/>
          <w:bCs/>
          <w:lang w:eastAsia="en-GB"/>
        </w:rPr>
        <w:t>,</w:t>
      </w:r>
      <w:r w:rsidR="009E1A10">
        <w:rPr>
          <w:rFonts w:ascii="Cambria" w:hAnsi="Cambria"/>
          <w:bCs/>
          <w:lang w:eastAsia="en-GB"/>
        </w:rPr>
        <w:t xml:space="preserve"> </w:t>
      </w:r>
      <w:r w:rsidRPr="00EA0EA9">
        <w:rPr>
          <w:rFonts w:ascii="Cambria" w:hAnsi="Cambria"/>
          <w:bCs/>
          <w:lang w:eastAsia="en-GB"/>
        </w:rPr>
        <w:t>there are a lot of similarities in the</w:t>
      </w:r>
      <w:r w:rsidR="002B126C" w:rsidRPr="00EA0EA9">
        <w:rPr>
          <w:rFonts w:ascii="Cambria" w:hAnsi="Cambria"/>
          <w:bCs/>
          <w:lang w:eastAsia="en-GB"/>
        </w:rPr>
        <w:t xml:space="preserve"> Child rights-related issues </w:t>
      </w:r>
      <w:r w:rsidRPr="00EA0EA9">
        <w:rPr>
          <w:rFonts w:ascii="Cambria" w:hAnsi="Cambria"/>
          <w:bCs/>
          <w:lang w:eastAsia="en-GB"/>
        </w:rPr>
        <w:t xml:space="preserve">in the SADC countries. </w:t>
      </w:r>
      <w:r w:rsidR="002B126C" w:rsidRPr="00EA0EA9">
        <w:rPr>
          <w:rFonts w:ascii="Cambria" w:hAnsi="Cambria"/>
          <w:bCs/>
          <w:lang w:eastAsia="en-GB"/>
        </w:rPr>
        <w:t>It is important to point out from the outset that t</w:t>
      </w:r>
      <w:r w:rsidRPr="00EA0EA9">
        <w:rPr>
          <w:rFonts w:ascii="Cambria" w:hAnsi="Cambria"/>
          <w:bCs/>
          <w:lang w:eastAsia="en-GB"/>
        </w:rPr>
        <w:t>he protection of children’s rights is allied to and no</w:t>
      </w:r>
      <w:r w:rsidR="002B126C" w:rsidRPr="00EA0EA9">
        <w:rPr>
          <w:rFonts w:ascii="Cambria" w:hAnsi="Cambria"/>
          <w:bCs/>
          <w:lang w:eastAsia="en-GB"/>
        </w:rPr>
        <w:t>t inconsistent with the dominant Bantu and Khoisan</w:t>
      </w:r>
      <w:r w:rsidRPr="00EA0EA9">
        <w:rPr>
          <w:rFonts w:ascii="Cambria" w:hAnsi="Cambria"/>
          <w:bCs/>
          <w:lang w:eastAsia="en-GB"/>
        </w:rPr>
        <w:t xml:space="preserve"> culture</w:t>
      </w:r>
      <w:r w:rsidR="002B126C" w:rsidRPr="00EA0EA9">
        <w:rPr>
          <w:rFonts w:ascii="Cambria" w:hAnsi="Cambria"/>
          <w:bCs/>
          <w:lang w:eastAsia="en-GB"/>
        </w:rPr>
        <w:t>s</w:t>
      </w:r>
      <w:r w:rsidRPr="00EA0EA9">
        <w:rPr>
          <w:rFonts w:ascii="Cambria" w:hAnsi="Cambria"/>
          <w:bCs/>
          <w:lang w:eastAsia="en-GB"/>
        </w:rPr>
        <w:t xml:space="preserve">. Consequently, international human rights principles relating to the protection of the child find </w:t>
      </w:r>
      <w:r w:rsidR="007D38C6" w:rsidRPr="00EA0EA9">
        <w:rPr>
          <w:rFonts w:ascii="Cambria" w:hAnsi="Cambria"/>
          <w:bCs/>
          <w:lang w:eastAsia="en-GB"/>
        </w:rPr>
        <w:t xml:space="preserve">clear </w:t>
      </w:r>
      <w:r w:rsidRPr="00EA0EA9">
        <w:rPr>
          <w:rFonts w:ascii="Cambria" w:hAnsi="Cambria"/>
          <w:bCs/>
          <w:lang w:eastAsia="en-GB"/>
        </w:rPr>
        <w:t>support within the African cul</w:t>
      </w:r>
      <w:r w:rsidR="007D38C6" w:rsidRPr="00EA0EA9">
        <w:rPr>
          <w:rFonts w:ascii="Cambria" w:hAnsi="Cambria"/>
          <w:bCs/>
          <w:lang w:eastAsia="en-GB"/>
        </w:rPr>
        <w:t>tural conception of humanity and human dignity</w:t>
      </w:r>
      <w:r w:rsidRPr="00EA0EA9">
        <w:rPr>
          <w:rFonts w:ascii="Cambria" w:hAnsi="Cambria"/>
          <w:bCs/>
          <w:lang w:eastAsia="en-GB"/>
        </w:rPr>
        <w:t xml:space="preserve"> and the construction of childhood. Additionally, all the </w:t>
      </w:r>
      <w:r w:rsidR="008F56DB" w:rsidRPr="00EA0EA9">
        <w:rPr>
          <w:rFonts w:ascii="Cambria" w:hAnsi="Cambria"/>
          <w:bCs/>
          <w:lang w:eastAsia="en-GB"/>
        </w:rPr>
        <w:t>Southern African Countries have ratified</w:t>
      </w:r>
      <w:r w:rsidRPr="00EA0EA9">
        <w:rPr>
          <w:rFonts w:ascii="Cambria" w:hAnsi="Cambria"/>
          <w:bCs/>
          <w:lang w:eastAsia="en-GB"/>
        </w:rPr>
        <w:t> the United Nations Convention on the Rights of the Child and the African Charter on the Rights and the Welfare of the child. There are however some issues that are cross cutting that need to be</w:t>
      </w:r>
      <w:r w:rsidR="008F56DB" w:rsidRPr="00EA0EA9">
        <w:rPr>
          <w:rFonts w:ascii="Cambria" w:hAnsi="Cambria"/>
          <w:bCs/>
          <w:lang w:eastAsia="en-GB"/>
        </w:rPr>
        <w:t xml:space="preserve"> addressed in all the countries, not least their poor record in terms of Treaty reporting.</w:t>
      </w:r>
    </w:p>
    <w:p w14:paraId="50EF7EEB" w14:textId="77777777" w:rsidR="005F52B1" w:rsidRPr="00EA0EA9" w:rsidRDefault="00B24F4C" w:rsidP="00B24F4C">
      <w:pPr>
        <w:pStyle w:val="Heading2"/>
        <w:numPr>
          <w:ilvl w:val="1"/>
          <w:numId w:val="75"/>
        </w:numPr>
        <w:rPr>
          <w:color w:val="C00000"/>
          <w:sz w:val="28"/>
          <w:lang w:eastAsia="en-GB"/>
        </w:rPr>
      </w:pPr>
      <w:r w:rsidRPr="00EA0EA9">
        <w:rPr>
          <w:color w:val="C00000"/>
          <w:sz w:val="28"/>
          <w:lang w:eastAsia="en-GB"/>
        </w:rPr>
        <w:t xml:space="preserve"> </w:t>
      </w:r>
      <w:bookmarkStart w:id="16" w:name="_Toc476983580"/>
      <w:r w:rsidR="001802C4" w:rsidRPr="00EA0EA9">
        <w:rPr>
          <w:color w:val="C00000"/>
          <w:sz w:val="28"/>
          <w:lang w:eastAsia="en-GB"/>
        </w:rPr>
        <w:t>The Policy Context of Child Rights</w:t>
      </w:r>
      <w:bookmarkEnd w:id="16"/>
      <w:r w:rsidR="001802C4" w:rsidRPr="00EA0EA9">
        <w:rPr>
          <w:color w:val="C00000"/>
          <w:sz w:val="28"/>
          <w:lang w:eastAsia="en-GB"/>
        </w:rPr>
        <w:t xml:space="preserve"> </w:t>
      </w:r>
    </w:p>
    <w:p w14:paraId="0EE4D74A" w14:textId="42849480" w:rsidR="005F52B1" w:rsidRPr="00EA0EA9" w:rsidRDefault="005F52B1" w:rsidP="00163415">
      <w:pPr>
        <w:spacing w:line="276" w:lineRule="auto"/>
        <w:jc w:val="both"/>
        <w:rPr>
          <w:rFonts w:ascii="Cambria" w:hAnsi="Cambria"/>
          <w:bCs/>
        </w:rPr>
      </w:pPr>
      <w:r w:rsidRPr="00EA0EA9">
        <w:rPr>
          <w:rFonts w:ascii="Cambria" w:hAnsi="Cambria"/>
          <w:bCs/>
        </w:rPr>
        <w:t>In 2001, the post-apartheid African National Congress-led government produced an End-Decade Report on children, which documented progress towards the targets that had been set in the 1990 World Summit for Children. A section of the report dealt with government efforts to address poverty and to ensure that children are given priority in economic and social development. As its key response, in 1996 the South African government identified in broad macro-economic policy,</w:t>
      </w:r>
      <w:r w:rsidR="00355343" w:rsidRPr="00EA0EA9">
        <w:rPr>
          <w:rFonts w:ascii="Cambria" w:hAnsi="Cambria"/>
          <w:bCs/>
        </w:rPr>
        <w:t xml:space="preserve"> </w:t>
      </w:r>
      <w:r w:rsidRPr="00EA0EA9">
        <w:rPr>
          <w:rFonts w:ascii="Cambria" w:hAnsi="Cambria"/>
          <w:bCs/>
        </w:rPr>
        <w:t>‘Growth,</w:t>
      </w:r>
      <w:r w:rsidR="00355343" w:rsidRPr="00EA0EA9">
        <w:rPr>
          <w:rFonts w:ascii="Cambria" w:hAnsi="Cambria"/>
          <w:bCs/>
        </w:rPr>
        <w:t xml:space="preserve"> </w:t>
      </w:r>
      <w:r w:rsidRPr="00EA0EA9">
        <w:rPr>
          <w:rFonts w:ascii="Cambria" w:hAnsi="Cambria"/>
          <w:bCs/>
        </w:rPr>
        <w:t>Employment and Redistribution’</w:t>
      </w:r>
      <w:r w:rsidR="00251635" w:rsidRPr="00EA0EA9">
        <w:rPr>
          <w:rFonts w:ascii="Cambria" w:hAnsi="Cambria"/>
          <w:bCs/>
        </w:rPr>
        <w:t xml:space="preserve"> </w:t>
      </w:r>
      <w:r w:rsidRPr="00EA0EA9">
        <w:rPr>
          <w:rFonts w:ascii="Cambria" w:hAnsi="Cambria"/>
          <w:bCs/>
        </w:rPr>
        <w:t>(GEAR). GEAR had been preceded in 1994 by the Reconstruction and Development Programme</w:t>
      </w:r>
      <w:r w:rsidR="001B6D2F">
        <w:rPr>
          <w:rFonts w:ascii="Cambria" w:hAnsi="Cambria"/>
          <w:bCs/>
        </w:rPr>
        <w:t xml:space="preserve"> </w:t>
      </w:r>
      <w:r w:rsidRPr="00EA0EA9">
        <w:rPr>
          <w:rFonts w:ascii="Cambria" w:hAnsi="Cambria"/>
          <w:bCs/>
        </w:rPr>
        <w:t xml:space="preserve">(RDP). The report argued that a stable macro-economic foundation was essential for sustainable development and economic growth, </w:t>
      </w:r>
      <w:r w:rsidRPr="00EA0EA9">
        <w:rPr>
          <w:rFonts w:ascii="Cambria" w:hAnsi="Cambria"/>
          <w:b/>
          <w:bCs/>
          <w:i/>
        </w:rPr>
        <w:t>“which in turn is good for children</w:t>
      </w:r>
      <w:r w:rsidRPr="00EA0EA9">
        <w:rPr>
          <w:rFonts w:ascii="Cambria" w:hAnsi="Cambria"/>
          <w:bCs/>
        </w:rPr>
        <w:t>”.</w:t>
      </w:r>
      <w:r w:rsidR="00EE234C">
        <w:rPr>
          <w:rFonts w:ascii="Cambria" w:hAnsi="Cambria"/>
          <w:bCs/>
        </w:rPr>
        <w:t xml:space="preserve"> </w:t>
      </w:r>
      <w:r w:rsidRPr="00EA0EA9">
        <w:rPr>
          <w:rFonts w:ascii="Cambria" w:hAnsi="Cambria"/>
          <w:bCs/>
        </w:rPr>
        <w:t xml:space="preserve">At the time the government was spending more than half its budget on social services such as education, health and welfare services. The RDP was a very ambitious programme aimed at reducing poverty quickly through financing and implementing a broad range of programmes to deliver basic and social services to the poor. The GEAR strategy purported to link rapid poverty reduction and by inference –the realization of socio-economic rights to conservative cyclical macro-economic policy whose primary aim was budget deficit reduction, inflation targeting and restrictive monetary policy. GEAR also stressed the need for institution-building at the level of the State to enhance the efficiency of sending and delivery capacity. </w:t>
      </w:r>
    </w:p>
    <w:p w14:paraId="7C23E428" w14:textId="77777777" w:rsidR="00AA4AD1" w:rsidRPr="00EA0EA9" w:rsidRDefault="00AA4AD1" w:rsidP="00AA4AD1">
      <w:pPr>
        <w:spacing w:line="276" w:lineRule="auto"/>
        <w:jc w:val="both"/>
        <w:rPr>
          <w:rFonts w:ascii="Cambria" w:hAnsi="Cambria"/>
          <w:bCs/>
        </w:rPr>
      </w:pPr>
    </w:p>
    <w:p w14:paraId="07F4CE2B" w14:textId="77777777" w:rsidR="00AA4AD1" w:rsidRPr="00EA0EA9" w:rsidRDefault="00AA4AD1" w:rsidP="00AA4AD1">
      <w:pPr>
        <w:spacing w:line="276" w:lineRule="auto"/>
        <w:jc w:val="both"/>
        <w:rPr>
          <w:rFonts w:ascii="Cambria" w:hAnsi="Cambria"/>
          <w:bCs/>
        </w:rPr>
      </w:pPr>
      <w:r w:rsidRPr="00EA0EA9">
        <w:rPr>
          <w:rFonts w:ascii="Cambria" w:hAnsi="Cambria"/>
          <w:bCs/>
        </w:rPr>
        <w:t xml:space="preserve">There are 19.7 million children under the age of 18 in South Africa. Over 55 % of these children live in cities and towns. Internal and regional migration is an important demographic process in shaping the distribution of the population. Nearly one-in-ten children nationwide, and one-in-five in Gauteng Province, have migrated from another province. Fluid care-giving arrangements are another common feature of childhoods in South Africa. Furthermore, only one-in-three children live with both their biological </w:t>
      </w:r>
      <w:r w:rsidRPr="00EA0EA9">
        <w:rPr>
          <w:rFonts w:ascii="Cambria" w:hAnsi="Cambria"/>
          <w:bCs/>
        </w:rPr>
        <w:lastRenderedPageBreak/>
        <w:t xml:space="preserve">parents and one-in-six have lost a parent. Population projections indicate that the overall number of children in South Africa is reaching its peak and will start to decline gradually. The proportion of children in the total population is projected to decline from 36% today to 29% in 2035. </w:t>
      </w:r>
    </w:p>
    <w:p w14:paraId="5595F002" w14:textId="77777777" w:rsidR="00AA4AD1" w:rsidRPr="00EA0EA9" w:rsidRDefault="00AA4AD1" w:rsidP="00AA4AD1">
      <w:pPr>
        <w:spacing w:line="276" w:lineRule="auto"/>
        <w:jc w:val="both"/>
        <w:rPr>
          <w:rFonts w:ascii="Cambria" w:hAnsi="Cambria"/>
          <w:b/>
          <w:bCs/>
        </w:rPr>
      </w:pPr>
    </w:p>
    <w:p w14:paraId="742552E4" w14:textId="77777777" w:rsidR="00AA4AD1" w:rsidRPr="00EA0EA9" w:rsidRDefault="00AA4AD1" w:rsidP="00AA4AD1">
      <w:pPr>
        <w:spacing w:line="276" w:lineRule="auto"/>
        <w:jc w:val="both"/>
        <w:rPr>
          <w:rFonts w:ascii="Cambria" w:hAnsi="Cambria"/>
          <w:bCs/>
        </w:rPr>
      </w:pPr>
      <w:r w:rsidRPr="00EA0EA9">
        <w:rPr>
          <w:rFonts w:ascii="Cambria" w:hAnsi="Cambria"/>
          <w:bCs/>
        </w:rPr>
        <w:t xml:space="preserve">Overall, South Africa has made significant progress in fulfilling the rights of the child since the advent of democracy in 1994. The South African Constitution has specific provisions on the rights of children, and the State has introduced many targeted legislative and policy advancements. At a programmatic level, the South African State has introduced measures such as the Child Support Grant. The Child Support Grant has been credited with the evident substantial improvement of the financial situation of many poor families. The improvement in household income and savings has –in turn- positively contributed to the well-being of children in South Africa. Notwithstanding the significant progress made as far as children’s rights are concerned, much remains to be done, especially in the poorest sections of South African society, where children are most likely to remain trapped in poverty. Focused attention and results-based programming by relevant South African duty-bearers could effectively address challenges in these areas and significantly improve the lives of children in South Africa, in line with the goals of the National Development Plan (NDP) and the United Nations’ Sustainable Development Goals (SDGs). </w:t>
      </w:r>
    </w:p>
    <w:p w14:paraId="56E9F0AF" w14:textId="77777777" w:rsidR="00AA4AD1" w:rsidRPr="00EA0EA9" w:rsidRDefault="00AA4AD1" w:rsidP="00AA4AD1">
      <w:pPr>
        <w:spacing w:line="276" w:lineRule="auto"/>
        <w:jc w:val="both"/>
        <w:rPr>
          <w:rFonts w:ascii="Cambria" w:hAnsi="Cambria"/>
          <w:bCs/>
        </w:rPr>
      </w:pPr>
    </w:p>
    <w:p w14:paraId="67C34D27" w14:textId="0BB1044A" w:rsidR="00AA4AD1" w:rsidRPr="00EA0EA9" w:rsidRDefault="00AA4AD1" w:rsidP="00AA4AD1">
      <w:pPr>
        <w:spacing w:line="276" w:lineRule="auto"/>
        <w:jc w:val="both"/>
        <w:rPr>
          <w:rFonts w:ascii="Cambria" w:hAnsi="Cambria"/>
          <w:bCs/>
        </w:rPr>
      </w:pPr>
      <w:r w:rsidRPr="00EA0EA9">
        <w:rPr>
          <w:rFonts w:ascii="Cambria" w:hAnsi="Cambria"/>
          <w:bCs/>
        </w:rPr>
        <w:t>A recent report by the UN and the South African Human Rights Commission (SAHRC) entitled, ‘</w:t>
      </w:r>
      <w:r w:rsidRPr="00EA0EA9">
        <w:rPr>
          <w:rFonts w:ascii="Cambria" w:hAnsi="Cambria"/>
          <w:b/>
          <w:bCs/>
          <w:i/>
          <w:iCs/>
        </w:rPr>
        <w:t>Global Goals for Every Child: Progress and Disparities among Children in South Africa’</w:t>
      </w:r>
      <w:r w:rsidR="00BA05D9" w:rsidRPr="00EA0EA9">
        <w:rPr>
          <w:rFonts w:ascii="Cambria" w:hAnsi="Cambria"/>
          <w:b/>
          <w:bCs/>
          <w:i/>
          <w:iCs/>
        </w:rPr>
        <w:t>,</w:t>
      </w:r>
      <w:r w:rsidRPr="00EA0EA9">
        <w:rPr>
          <w:rFonts w:ascii="Cambria" w:hAnsi="Cambria"/>
          <w:b/>
          <w:bCs/>
          <w:i/>
          <w:iCs/>
        </w:rPr>
        <w:t xml:space="preserve"> </w:t>
      </w:r>
      <w:r w:rsidRPr="00EA0EA9">
        <w:rPr>
          <w:rFonts w:ascii="Cambria" w:hAnsi="Cambria"/>
          <w:bCs/>
        </w:rPr>
        <w:t xml:space="preserve">noted amongst other things that growing levels of inequality and deepening poverty pose the greatest danger to South Africa’s ability to fully or substantially realise the rights of the child as contained in the Constitution and relevant policies and laws. Many South African children live in dire poverty. The dearth of reliable updated statistical information especially for the poorest communities limits the full understanding of the current status of children. Children who are trapped in poverty are often also </w:t>
      </w:r>
      <w:r w:rsidR="00FB1055" w:rsidRPr="00EA0EA9">
        <w:rPr>
          <w:rFonts w:ascii="Cambria" w:hAnsi="Cambria"/>
          <w:bCs/>
        </w:rPr>
        <w:t>because of</w:t>
      </w:r>
      <w:r w:rsidRPr="00EA0EA9">
        <w:rPr>
          <w:rFonts w:ascii="Cambria" w:hAnsi="Cambria"/>
          <w:bCs/>
        </w:rPr>
        <w:t xml:space="preserve"> their social class, socially excluded. Furthermore, in some instances, they are also stigmatised and criminalized. Importantly, there is a correlation between the poverty and inequality data sets, on the one hand and the racial profiles of the children in South Africa on the other. Black South African children are most likely to be poorer and more unequal than their White, Asian and Coloured counterparts. Glaring gaps in opportunity – between rich and poor households, urban and rural communities, and Black African and White children–perpetuate intergenerational cycles of deprivation. Disadvantages based on gender, disability and other socio-economic markers persist. Below are graphical presentations of demographics of children in South Africa:</w:t>
      </w:r>
    </w:p>
    <w:p w14:paraId="4A73BA5E" w14:textId="77777777" w:rsidR="00AA4AD1" w:rsidRPr="00EA0EA9" w:rsidRDefault="00AA4AD1" w:rsidP="00AA4AD1">
      <w:pPr>
        <w:spacing w:line="276" w:lineRule="auto"/>
        <w:jc w:val="both"/>
        <w:rPr>
          <w:rFonts w:ascii="Cambria" w:hAnsi="Cambria"/>
          <w:bCs/>
        </w:rPr>
      </w:pPr>
    </w:p>
    <w:p w14:paraId="54C182E3" w14:textId="77777777" w:rsidR="00043976" w:rsidRPr="00EA0EA9" w:rsidRDefault="00043976" w:rsidP="00AA4AD1">
      <w:pPr>
        <w:spacing w:line="276" w:lineRule="auto"/>
        <w:jc w:val="both"/>
        <w:rPr>
          <w:rFonts w:ascii="Cambria" w:hAnsi="Cambria"/>
          <w:bCs/>
        </w:rPr>
      </w:pPr>
    </w:p>
    <w:p w14:paraId="1EC71708" w14:textId="77777777" w:rsidR="00043976" w:rsidRPr="00EA0EA9" w:rsidRDefault="00043976" w:rsidP="00AA4AD1">
      <w:pPr>
        <w:spacing w:line="276" w:lineRule="auto"/>
        <w:jc w:val="both"/>
        <w:rPr>
          <w:rFonts w:ascii="Cambria" w:hAnsi="Cambria"/>
          <w:bCs/>
        </w:rPr>
      </w:pPr>
    </w:p>
    <w:p w14:paraId="56CB5C35" w14:textId="77777777" w:rsidR="00043976" w:rsidRPr="00EA0EA9" w:rsidRDefault="00043976" w:rsidP="00AA4AD1">
      <w:pPr>
        <w:spacing w:line="276" w:lineRule="auto"/>
        <w:jc w:val="both"/>
        <w:rPr>
          <w:rFonts w:ascii="Cambria" w:hAnsi="Cambria"/>
          <w:bCs/>
        </w:rPr>
      </w:pPr>
    </w:p>
    <w:p w14:paraId="4B19ACF4" w14:textId="767D5AA8" w:rsidR="00C20076" w:rsidRPr="00C20076" w:rsidRDefault="00C20076" w:rsidP="00C20076">
      <w:pPr>
        <w:pStyle w:val="Caption"/>
        <w:rPr>
          <w:rFonts w:asciiTheme="majorHAnsi" w:hAnsiTheme="majorHAnsi"/>
          <w:color w:val="auto"/>
          <w:sz w:val="22"/>
        </w:rPr>
      </w:pPr>
      <w:bookmarkStart w:id="17" w:name="_Toc476983991"/>
      <w:r w:rsidRPr="00C20076">
        <w:rPr>
          <w:rFonts w:asciiTheme="majorHAnsi" w:hAnsiTheme="majorHAnsi"/>
          <w:color w:val="auto"/>
          <w:sz w:val="22"/>
        </w:rPr>
        <w:t xml:space="preserve">Figure </w:t>
      </w:r>
      <w:r w:rsidRPr="00C20076">
        <w:rPr>
          <w:rFonts w:asciiTheme="majorHAnsi" w:hAnsiTheme="majorHAnsi"/>
          <w:color w:val="auto"/>
          <w:sz w:val="22"/>
        </w:rPr>
        <w:fldChar w:fldCharType="begin"/>
      </w:r>
      <w:r w:rsidRPr="00C20076">
        <w:rPr>
          <w:rFonts w:asciiTheme="majorHAnsi" w:hAnsiTheme="majorHAnsi"/>
          <w:color w:val="auto"/>
          <w:sz w:val="22"/>
        </w:rPr>
        <w:instrText xml:space="preserve"> SEQ Figure \* ARABIC </w:instrText>
      </w:r>
      <w:r w:rsidRPr="00C20076">
        <w:rPr>
          <w:rFonts w:asciiTheme="majorHAnsi" w:hAnsiTheme="majorHAnsi"/>
          <w:color w:val="auto"/>
          <w:sz w:val="22"/>
        </w:rPr>
        <w:fldChar w:fldCharType="separate"/>
      </w:r>
      <w:r w:rsidR="00FE7BEE">
        <w:rPr>
          <w:rFonts w:asciiTheme="majorHAnsi" w:hAnsiTheme="majorHAnsi"/>
          <w:noProof/>
          <w:color w:val="auto"/>
          <w:sz w:val="22"/>
        </w:rPr>
        <w:t>2</w:t>
      </w:r>
      <w:r w:rsidRPr="00C20076">
        <w:rPr>
          <w:rFonts w:asciiTheme="majorHAnsi" w:hAnsiTheme="majorHAnsi"/>
          <w:color w:val="auto"/>
          <w:sz w:val="22"/>
        </w:rPr>
        <w:fldChar w:fldCharType="end"/>
      </w:r>
      <w:r w:rsidRPr="00C20076">
        <w:rPr>
          <w:rFonts w:asciiTheme="majorHAnsi" w:hAnsiTheme="majorHAnsi"/>
          <w:color w:val="auto"/>
          <w:sz w:val="22"/>
        </w:rPr>
        <w:t>: Percentage of Children 0-17 years old by Population Racial Group, 2014</w:t>
      </w:r>
      <w:bookmarkEnd w:id="17"/>
      <w:r w:rsidRPr="00C20076">
        <w:rPr>
          <w:rFonts w:asciiTheme="majorHAnsi" w:hAnsiTheme="majorHAnsi"/>
          <w:color w:val="auto"/>
          <w:sz w:val="22"/>
        </w:rPr>
        <w:t xml:space="preserve"> </w:t>
      </w:r>
    </w:p>
    <w:p w14:paraId="734651AC" w14:textId="77777777" w:rsidR="00AA4AD1" w:rsidRPr="00EA0EA9" w:rsidRDefault="00140A25" w:rsidP="00AA4AD1">
      <w:pPr>
        <w:spacing w:line="276" w:lineRule="auto"/>
        <w:jc w:val="both"/>
        <w:rPr>
          <w:rFonts w:ascii="Cambria" w:hAnsi="Cambria"/>
          <w:bCs/>
        </w:rPr>
      </w:pPr>
      <w:r w:rsidRPr="00EA0EA9">
        <w:rPr>
          <w:rFonts w:ascii="Cambria" w:hAnsi="Cambria"/>
          <w:b/>
          <w:bCs/>
          <w:noProof/>
          <w:lang w:val="en-US"/>
        </w:rPr>
        <w:lastRenderedPageBreak/>
        <w:drawing>
          <wp:inline distT="0" distB="0" distL="0" distR="0" wp14:anchorId="506FF0C5" wp14:editId="7174A85B">
            <wp:extent cx="5270500" cy="3074670"/>
            <wp:effectExtent l="19050" t="0" r="2540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BB83B1A" w14:textId="77777777" w:rsidR="00AA4AD1" w:rsidRPr="00EA0EA9" w:rsidRDefault="00AA4AD1" w:rsidP="00AA4AD1">
      <w:pPr>
        <w:spacing w:line="276" w:lineRule="auto"/>
        <w:jc w:val="both"/>
        <w:rPr>
          <w:rFonts w:ascii="Cambria" w:hAnsi="Cambria"/>
          <w:bCs/>
        </w:rPr>
      </w:pPr>
      <w:r w:rsidRPr="00EA0EA9">
        <w:rPr>
          <w:rFonts w:ascii="Cambria" w:hAnsi="Cambria"/>
          <w:b/>
          <w:bCs/>
          <w:vertAlign w:val="superscript"/>
        </w:rPr>
        <w:footnoteReference w:id="11"/>
      </w:r>
      <w:r w:rsidRPr="00EA0EA9">
        <w:rPr>
          <w:rFonts w:ascii="Cambria" w:hAnsi="Cambria"/>
          <w:bCs/>
          <w:i/>
        </w:rPr>
        <w:t>Source</w:t>
      </w:r>
      <w:r w:rsidRPr="00EA0EA9">
        <w:rPr>
          <w:rFonts w:ascii="Cambria" w:hAnsi="Cambria"/>
          <w:bCs/>
        </w:rPr>
        <w:t>: Calculations based on data from Statistics South Africa’s General Household Survey, 2014</w:t>
      </w:r>
    </w:p>
    <w:p w14:paraId="15C04BF5" w14:textId="77777777" w:rsidR="00AA4AD1" w:rsidRPr="00EA0EA9" w:rsidRDefault="00AA4AD1" w:rsidP="00AA4AD1">
      <w:pPr>
        <w:spacing w:line="276" w:lineRule="auto"/>
        <w:jc w:val="both"/>
        <w:rPr>
          <w:rFonts w:ascii="Cambria" w:hAnsi="Cambria"/>
          <w:bCs/>
        </w:rPr>
      </w:pPr>
    </w:p>
    <w:p w14:paraId="0194A537" w14:textId="76F45FF7" w:rsidR="00AA4AD1" w:rsidRPr="00C20076" w:rsidRDefault="00C20076" w:rsidP="00C20076">
      <w:pPr>
        <w:pStyle w:val="Caption"/>
        <w:rPr>
          <w:rFonts w:asciiTheme="majorHAnsi" w:hAnsiTheme="majorHAnsi"/>
          <w:b w:val="0"/>
          <w:bCs w:val="0"/>
          <w:color w:val="auto"/>
          <w:sz w:val="22"/>
        </w:rPr>
      </w:pPr>
      <w:bookmarkStart w:id="18" w:name="_Toc476983992"/>
      <w:r w:rsidRPr="00C20076">
        <w:rPr>
          <w:rFonts w:asciiTheme="majorHAnsi" w:hAnsiTheme="majorHAnsi"/>
          <w:color w:val="auto"/>
          <w:sz w:val="22"/>
        </w:rPr>
        <w:t xml:space="preserve">Figure </w:t>
      </w:r>
      <w:r w:rsidRPr="00C20076">
        <w:rPr>
          <w:rFonts w:asciiTheme="majorHAnsi" w:hAnsiTheme="majorHAnsi"/>
          <w:color w:val="auto"/>
          <w:sz w:val="22"/>
        </w:rPr>
        <w:fldChar w:fldCharType="begin"/>
      </w:r>
      <w:r w:rsidRPr="00C20076">
        <w:rPr>
          <w:rFonts w:asciiTheme="majorHAnsi" w:hAnsiTheme="majorHAnsi"/>
          <w:color w:val="auto"/>
          <w:sz w:val="22"/>
        </w:rPr>
        <w:instrText xml:space="preserve"> SEQ Figure \* ARABIC </w:instrText>
      </w:r>
      <w:r w:rsidRPr="00C20076">
        <w:rPr>
          <w:rFonts w:asciiTheme="majorHAnsi" w:hAnsiTheme="majorHAnsi"/>
          <w:color w:val="auto"/>
          <w:sz w:val="22"/>
        </w:rPr>
        <w:fldChar w:fldCharType="separate"/>
      </w:r>
      <w:r w:rsidR="00FE7BEE">
        <w:rPr>
          <w:rFonts w:asciiTheme="majorHAnsi" w:hAnsiTheme="majorHAnsi"/>
          <w:noProof/>
          <w:color w:val="auto"/>
          <w:sz w:val="22"/>
        </w:rPr>
        <w:t>3</w:t>
      </w:r>
      <w:r w:rsidRPr="00C20076">
        <w:rPr>
          <w:rFonts w:asciiTheme="majorHAnsi" w:hAnsiTheme="majorHAnsi"/>
          <w:color w:val="auto"/>
          <w:sz w:val="22"/>
        </w:rPr>
        <w:fldChar w:fldCharType="end"/>
      </w:r>
      <w:r w:rsidRPr="00C20076">
        <w:rPr>
          <w:rFonts w:asciiTheme="majorHAnsi" w:hAnsiTheme="majorHAnsi"/>
          <w:color w:val="auto"/>
          <w:sz w:val="22"/>
        </w:rPr>
        <w:t>: Percentage Distribution of Children 0-17 years Old by Geo-type</w:t>
      </w:r>
      <w:bookmarkEnd w:id="18"/>
      <w:r w:rsidRPr="00C20076">
        <w:rPr>
          <w:rFonts w:asciiTheme="majorHAnsi" w:hAnsiTheme="majorHAnsi"/>
          <w:color w:val="auto"/>
          <w:sz w:val="22"/>
        </w:rPr>
        <w:t xml:space="preserve"> </w:t>
      </w:r>
    </w:p>
    <w:p w14:paraId="3E92ED9F" w14:textId="77777777" w:rsidR="00AA4AD1" w:rsidRPr="00EA0EA9" w:rsidRDefault="00140A25" w:rsidP="00AA4AD1">
      <w:pPr>
        <w:spacing w:line="276" w:lineRule="auto"/>
        <w:jc w:val="both"/>
        <w:rPr>
          <w:rFonts w:ascii="Cambria" w:hAnsi="Cambria"/>
          <w:bCs/>
        </w:rPr>
      </w:pPr>
      <w:r w:rsidRPr="00EA0EA9">
        <w:rPr>
          <w:rFonts w:ascii="Cambria" w:hAnsi="Cambria"/>
          <w:bCs/>
          <w:noProof/>
          <w:lang w:val="en-US"/>
        </w:rPr>
        <w:drawing>
          <wp:inline distT="0" distB="0" distL="0" distR="0" wp14:anchorId="236B8F64" wp14:editId="7068AB31">
            <wp:extent cx="5270500" cy="3074670"/>
            <wp:effectExtent l="19050" t="0" r="2540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5B2C0E9" w14:textId="5D486CF7" w:rsidR="00AA4AD1" w:rsidRPr="00EA0EA9" w:rsidRDefault="00AA4AD1" w:rsidP="00AA4AD1">
      <w:pPr>
        <w:spacing w:line="276" w:lineRule="auto"/>
        <w:jc w:val="both"/>
        <w:rPr>
          <w:rFonts w:ascii="Cambria" w:hAnsi="Cambria"/>
          <w:bCs/>
        </w:rPr>
      </w:pPr>
      <w:r w:rsidRPr="00782C53">
        <w:rPr>
          <w:rFonts w:ascii="Cambria" w:hAnsi="Cambria"/>
          <w:bCs/>
          <w:sz w:val="20"/>
        </w:rPr>
        <w:t>Source</w:t>
      </w:r>
      <w:r w:rsidR="00782C53" w:rsidRPr="00782C53">
        <w:rPr>
          <w:rFonts w:ascii="Cambria" w:hAnsi="Cambria"/>
          <w:bCs/>
          <w:sz w:val="20"/>
        </w:rPr>
        <w:t>:</w:t>
      </w:r>
      <w:r w:rsidR="00782C53">
        <w:rPr>
          <w:rFonts w:ascii="Cambria" w:hAnsi="Cambria"/>
          <w:bCs/>
          <w:sz w:val="20"/>
        </w:rPr>
        <w:t xml:space="preserve"> </w:t>
      </w:r>
      <w:r w:rsidR="00782C53" w:rsidRPr="00A00BEA">
        <w:rPr>
          <w:rFonts w:asciiTheme="majorHAnsi" w:hAnsiTheme="majorHAnsi"/>
          <w:sz w:val="20"/>
          <w:szCs w:val="20"/>
        </w:rPr>
        <w:t>Calculations based on data from Statistics South Africa’s General Household Survey, 2014</w:t>
      </w:r>
    </w:p>
    <w:p w14:paraId="559F68E9" w14:textId="0ADA8846" w:rsidR="00AA4AD1" w:rsidRDefault="00AA4AD1" w:rsidP="00AA4AD1">
      <w:pPr>
        <w:spacing w:line="276" w:lineRule="auto"/>
        <w:jc w:val="both"/>
        <w:rPr>
          <w:rFonts w:ascii="Cambria" w:hAnsi="Cambria"/>
          <w:bCs/>
        </w:rPr>
      </w:pPr>
    </w:p>
    <w:p w14:paraId="7CAA9262" w14:textId="77777777" w:rsidR="00FE7BEE" w:rsidRDefault="00FE7BEE" w:rsidP="00AA4AD1">
      <w:pPr>
        <w:spacing w:line="276" w:lineRule="auto"/>
        <w:jc w:val="both"/>
        <w:rPr>
          <w:rFonts w:ascii="Cambria" w:hAnsi="Cambria"/>
          <w:bCs/>
        </w:rPr>
      </w:pPr>
    </w:p>
    <w:p w14:paraId="3AFD7CA4" w14:textId="7A26BAC0" w:rsidR="00FE7BEE" w:rsidRDefault="00FE7BEE" w:rsidP="00AA4AD1">
      <w:pPr>
        <w:spacing w:line="276" w:lineRule="auto"/>
        <w:jc w:val="both"/>
        <w:rPr>
          <w:rFonts w:ascii="Cambria" w:hAnsi="Cambria"/>
          <w:bCs/>
        </w:rPr>
      </w:pPr>
    </w:p>
    <w:p w14:paraId="3AD75A47" w14:textId="77777777" w:rsidR="00FE7BEE" w:rsidRPr="00EA0EA9" w:rsidRDefault="00FE7BEE" w:rsidP="00AA4AD1">
      <w:pPr>
        <w:spacing w:line="276" w:lineRule="auto"/>
        <w:jc w:val="both"/>
        <w:rPr>
          <w:rFonts w:ascii="Cambria" w:hAnsi="Cambria"/>
          <w:bCs/>
        </w:rPr>
      </w:pPr>
    </w:p>
    <w:p w14:paraId="5F888A4F" w14:textId="240AE666" w:rsidR="00AA4AD1" w:rsidRPr="00FE7BEE" w:rsidRDefault="00FE7BEE" w:rsidP="00FE7BEE">
      <w:pPr>
        <w:pStyle w:val="Caption"/>
        <w:rPr>
          <w:rFonts w:asciiTheme="majorHAnsi" w:hAnsiTheme="majorHAnsi"/>
          <w:b w:val="0"/>
          <w:bCs w:val="0"/>
          <w:color w:val="auto"/>
          <w:sz w:val="22"/>
        </w:rPr>
      </w:pPr>
      <w:bookmarkStart w:id="19" w:name="_Toc476983993"/>
      <w:r w:rsidRPr="00FE7BEE">
        <w:rPr>
          <w:rFonts w:asciiTheme="majorHAnsi" w:hAnsiTheme="majorHAnsi"/>
          <w:color w:val="auto"/>
          <w:sz w:val="22"/>
        </w:rPr>
        <w:lastRenderedPageBreak/>
        <w:t xml:space="preserve">Figure </w:t>
      </w:r>
      <w:r w:rsidRPr="00FE7BEE">
        <w:rPr>
          <w:rFonts w:asciiTheme="majorHAnsi" w:hAnsiTheme="majorHAnsi"/>
          <w:color w:val="auto"/>
          <w:sz w:val="22"/>
        </w:rPr>
        <w:fldChar w:fldCharType="begin"/>
      </w:r>
      <w:r w:rsidRPr="00FE7BEE">
        <w:rPr>
          <w:rFonts w:asciiTheme="majorHAnsi" w:hAnsiTheme="majorHAnsi"/>
          <w:color w:val="auto"/>
          <w:sz w:val="22"/>
        </w:rPr>
        <w:instrText xml:space="preserve"> SEQ Figure \* ARABIC </w:instrText>
      </w:r>
      <w:r w:rsidRPr="00FE7BEE">
        <w:rPr>
          <w:rFonts w:asciiTheme="majorHAnsi" w:hAnsiTheme="majorHAnsi"/>
          <w:color w:val="auto"/>
          <w:sz w:val="22"/>
        </w:rPr>
        <w:fldChar w:fldCharType="separate"/>
      </w:r>
      <w:r>
        <w:rPr>
          <w:rFonts w:asciiTheme="majorHAnsi" w:hAnsiTheme="majorHAnsi"/>
          <w:noProof/>
          <w:color w:val="auto"/>
          <w:sz w:val="22"/>
        </w:rPr>
        <w:t>4</w:t>
      </w:r>
      <w:r w:rsidRPr="00FE7BEE">
        <w:rPr>
          <w:rFonts w:asciiTheme="majorHAnsi" w:hAnsiTheme="majorHAnsi"/>
          <w:color w:val="auto"/>
          <w:sz w:val="22"/>
        </w:rPr>
        <w:fldChar w:fldCharType="end"/>
      </w:r>
      <w:r w:rsidRPr="00FE7BEE">
        <w:rPr>
          <w:rFonts w:asciiTheme="majorHAnsi" w:hAnsiTheme="majorHAnsi"/>
          <w:color w:val="auto"/>
          <w:sz w:val="22"/>
        </w:rPr>
        <w:t>: Numbers and Percentage Distribution of Children 0-17 Years Old by Province, 2014</w:t>
      </w:r>
      <w:r w:rsidR="00AA4AD1" w:rsidRPr="00FE7BEE">
        <w:rPr>
          <w:rFonts w:asciiTheme="majorHAnsi" w:hAnsiTheme="majorHAnsi"/>
          <w:b w:val="0"/>
          <w:bCs w:val="0"/>
          <w:color w:val="auto"/>
          <w:sz w:val="22"/>
          <w:vertAlign w:val="superscript"/>
        </w:rPr>
        <w:footnoteReference w:id="12"/>
      </w:r>
      <w:bookmarkEnd w:id="19"/>
    </w:p>
    <w:p w14:paraId="142EE679" w14:textId="77777777" w:rsidR="00AA4AD1" w:rsidRPr="00EA0EA9" w:rsidRDefault="00140A25" w:rsidP="00AA4AD1">
      <w:pPr>
        <w:spacing w:line="276" w:lineRule="auto"/>
        <w:jc w:val="both"/>
        <w:rPr>
          <w:rFonts w:ascii="Cambria" w:hAnsi="Cambria"/>
          <w:bCs/>
        </w:rPr>
      </w:pPr>
      <w:r w:rsidRPr="00EA0EA9">
        <w:rPr>
          <w:rFonts w:ascii="Cambria" w:hAnsi="Cambria"/>
          <w:bCs/>
          <w:noProof/>
          <w:lang w:val="en-US"/>
        </w:rPr>
        <w:drawing>
          <wp:inline distT="0" distB="0" distL="0" distR="0" wp14:anchorId="7A7C7C05" wp14:editId="14AECA86">
            <wp:extent cx="5270500" cy="3074670"/>
            <wp:effectExtent l="0" t="0" r="12700" b="241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64C6767" w14:textId="77777777" w:rsidR="00AA4AD1" w:rsidRPr="00EA0EA9" w:rsidRDefault="00AA4AD1" w:rsidP="00AA4AD1">
      <w:pPr>
        <w:spacing w:line="276" w:lineRule="auto"/>
        <w:jc w:val="both"/>
        <w:rPr>
          <w:rFonts w:ascii="Cambria" w:hAnsi="Cambria"/>
          <w:bCs/>
          <w:sz w:val="22"/>
        </w:rPr>
      </w:pPr>
      <w:r w:rsidRPr="00EA0EA9">
        <w:rPr>
          <w:rFonts w:ascii="Cambria" w:hAnsi="Cambria"/>
          <w:bCs/>
          <w:i/>
          <w:sz w:val="22"/>
        </w:rPr>
        <w:t xml:space="preserve">Source: </w:t>
      </w:r>
      <w:r w:rsidRPr="00EA0EA9">
        <w:rPr>
          <w:rFonts w:ascii="Cambria" w:hAnsi="Cambria"/>
          <w:bCs/>
          <w:sz w:val="22"/>
        </w:rPr>
        <w:t>Statistics South Africa [2015], Mid-Year population estimates, 2015.</w:t>
      </w:r>
    </w:p>
    <w:p w14:paraId="1C27C425" w14:textId="77777777" w:rsidR="00AA4AD1" w:rsidRPr="00EA0EA9" w:rsidRDefault="00AA4AD1" w:rsidP="00AA4AD1">
      <w:pPr>
        <w:spacing w:line="276" w:lineRule="auto"/>
        <w:jc w:val="both"/>
        <w:rPr>
          <w:rFonts w:ascii="Cambria" w:hAnsi="Cambria"/>
          <w:bCs/>
        </w:rPr>
      </w:pPr>
    </w:p>
    <w:p w14:paraId="3C9C7E3B" w14:textId="77777777" w:rsidR="00024372" w:rsidRPr="00EA0EA9" w:rsidRDefault="00024372" w:rsidP="00AA4AD1">
      <w:pPr>
        <w:spacing w:line="276" w:lineRule="auto"/>
        <w:jc w:val="both"/>
        <w:rPr>
          <w:rFonts w:ascii="Cambria" w:hAnsi="Cambria"/>
          <w:bCs/>
        </w:rPr>
      </w:pPr>
    </w:p>
    <w:p w14:paraId="713F35C1" w14:textId="77777777" w:rsidR="00FE7BEE" w:rsidRPr="002E7643" w:rsidRDefault="00FE7BEE" w:rsidP="00FE7BEE">
      <w:pPr>
        <w:pStyle w:val="Caption"/>
        <w:rPr>
          <w:rFonts w:asciiTheme="majorHAnsi" w:hAnsiTheme="majorHAnsi"/>
          <w:color w:val="auto"/>
          <w:sz w:val="22"/>
        </w:rPr>
      </w:pPr>
      <w:bookmarkStart w:id="20" w:name="_Toc476983994"/>
      <w:r w:rsidRPr="002E7643">
        <w:rPr>
          <w:rFonts w:asciiTheme="majorHAnsi" w:hAnsiTheme="majorHAnsi"/>
          <w:color w:val="auto"/>
          <w:sz w:val="22"/>
        </w:rPr>
        <w:t xml:space="preserve">Figure </w:t>
      </w:r>
      <w:r w:rsidRPr="002E7643">
        <w:rPr>
          <w:rFonts w:asciiTheme="majorHAnsi" w:hAnsiTheme="majorHAnsi"/>
          <w:color w:val="auto"/>
          <w:sz w:val="22"/>
        </w:rPr>
        <w:fldChar w:fldCharType="begin"/>
      </w:r>
      <w:r w:rsidRPr="002E7643">
        <w:rPr>
          <w:rFonts w:asciiTheme="majorHAnsi" w:hAnsiTheme="majorHAnsi"/>
          <w:color w:val="auto"/>
          <w:sz w:val="22"/>
        </w:rPr>
        <w:instrText xml:space="preserve"> SEQ Figure \* ARABIC </w:instrText>
      </w:r>
      <w:r w:rsidRPr="002E7643">
        <w:rPr>
          <w:rFonts w:asciiTheme="majorHAnsi" w:hAnsiTheme="majorHAnsi"/>
          <w:color w:val="auto"/>
          <w:sz w:val="22"/>
        </w:rPr>
        <w:fldChar w:fldCharType="separate"/>
      </w:r>
      <w:r w:rsidRPr="002E7643">
        <w:rPr>
          <w:rFonts w:asciiTheme="majorHAnsi" w:hAnsiTheme="majorHAnsi"/>
          <w:noProof/>
          <w:color w:val="auto"/>
          <w:sz w:val="22"/>
        </w:rPr>
        <w:t>5</w:t>
      </w:r>
      <w:r w:rsidRPr="002E7643">
        <w:rPr>
          <w:rFonts w:asciiTheme="majorHAnsi" w:hAnsiTheme="majorHAnsi"/>
          <w:color w:val="auto"/>
          <w:sz w:val="22"/>
        </w:rPr>
        <w:fldChar w:fldCharType="end"/>
      </w:r>
      <w:r w:rsidRPr="002E7643">
        <w:rPr>
          <w:rFonts w:asciiTheme="majorHAnsi" w:hAnsiTheme="majorHAnsi"/>
          <w:color w:val="auto"/>
          <w:sz w:val="22"/>
        </w:rPr>
        <w:t>: Population of Children 0-17 years Old as a Proportion of the Total Population</w:t>
      </w:r>
      <w:bookmarkEnd w:id="20"/>
      <w:r w:rsidRPr="002E7643">
        <w:rPr>
          <w:rFonts w:asciiTheme="majorHAnsi" w:hAnsiTheme="majorHAnsi"/>
          <w:color w:val="auto"/>
          <w:sz w:val="22"/>
        </w:rPr>
        <w:t xml:space="preserve"> </w:t>
      </w:r>
    </w:p>
    <w:p w14:paraId="6CB760CE" w14:textId="77777777" w:rsidR="00AA4AD1" w:rsidRPr="00EA0EA9" w:rsidRDefault="00140A25" w:rsidP="00AA4AD1">
      <w:pPr>
        <w:spacing w:line="276" w:lineRule="auto"/>
        <w:jc w:val="both"/>
        <w:rPr>
          <w:rFonts w:ascii="Cambria" w:hAnsi="Cambria"/>
          <w:bCs/>
        </w:rPr>
      </w:pPr>
      <w:r w:rsidRPr="00EA0EA9">
        <w:rPr>
          <w:rFonts w:ascii="Cambria" w:hAnsi="Cambria"/>
          <w:bCs/>
          <w:noProof/>
          <w:lang w:val="en-US"/>
        </w:rPr>
        <w:drawing>
          <wp:inline distT="0" distB="0" distL="0" distR="0" wp14:anchorId="109C3027" wp14:editId="52F007DB">
            <wp:extent cx="5270500" cy="3074670"/>
            <wp:effectExtent l="0" t="0" r="12700" b="24130"/>
            <wp:docPr id="4"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209B645" w14:textId="4E7C6EDA" w:rsidR="00AA4AD1" w:rsidRPr="00EA0EA9" w:rsidRDefault="00AA4AD1" w:rsidP="00AA4AD1">
      <w:pPr>
        <w:spacing w:line="276" w:lineRule="auto"/>
        <w:jc w:val="both"/>
        <w:rPr>
          <w:rFonts w:ascii="Cambria" w:hAnsi="Cambria"/>
          <w:bCs/>
          <w:sz w:val="22"/>
        </w:rPr>
      </w:pPr>
      <w:r w:rsidRPr="00EA0EA9">
        <w:rPr>
          <w:rFonts w:ascii="Cambria" w:hAnsi="Cambria"/>
          <w:bCs/>
          <w:sz w:val="22"/>
        </w:rPr>
        <w:t>Source:</w:t>
      </w:r>
      <w:r w:rsidR="002E7643">
        <w:rPr>
          <w:rFonts w:ascii="Cambria" w:hAnsi="Cambria"/>
          <w:bCs/>
          <w:sz w:val="22"/>
        </w:rPr>
        <w:t xml:space="preserve"> </w:t>
      </w:r>
      <w:r w:rsidR="002E7643" w:rsidRPr="00A00BEA">
        <w:rPr>
          <w:rFonts w:asciiTheme="majorHAnsi" w:hAnsiTheme="majorHAnsi"/>
          <w:sz w:val="20"/>
          <w:szCs w:val="20"/>
          <w:lang w:val="en-US"/>
        </w:rPr>
        <w:t xml:space="preserve">Source of data: Statistics South Africa (2015), Mid-year population estimates, </w:t>
      </w:r>
      <w:proofErr w:type="gramStart"/>
      <w:r w:rsidR="002E7643" w:rsidRPr="00A00BEA">
        <w:rPr>
          <w:rFonts w:asciiTheme="majorHAnsi" w:hAnsiTheme="majorHAnsi"/>
          <w:sz w:val="20"/>
          <w:szCs w:val="20"/>
          <w:lang w:val="en-US"/>
        </w:rPr>
        <w:t>2015 .</w:t>
      </w:r>
      <w:proofErr w:type="gramEnd"/>
      <w:r w:rsidR="002E7643" w:rsidRPr="00A00BEA">
        <w:rPr>
          <w:rFonts w:asciiTheme="majorHAnsi" w:hAnsiTheme="majorHAnsi"/>
          <w:sz w:val="20"/>
          <w:szCs w:val="20"/>
          <w:lang w:val="en-US"/>
        </w:rPr>
        <w:t xml:space="preserve"> Pretoria: Statistics South Africa</w:t>
      </w:r>
    </w:p>
    <w:p w14:paraId="59A26396" w14:textId="77777777" w:rsidR="00AA4AD1" w:rsidRPr="00EA0EA9" w:rsidRDefault="00AA4AD1" w:rsidP="00AA4AD1">
      <w:pPr>
        <w:spacing w:line="276" w:lineRule="auto"/>
        <w:jc w:val="both"/>
        <w:rPr>
          <w:rFonts w:ascii="Cambria" w:hAnsi="Cambria"/>
          <w:bCs/>
        </w:rPr>
      </w:pPr>
    </w:p>
    <w:p w14:paraId="45D34842" w14:textId="77777777" w:rsidR="00AA4AD1" w:rsidRPr="00EA0EA9" w:rsidRDefault="00AA4AD1" w:rsidP="00AA4AD1">
      <w:pPr>
        <w:spacing w:line="276" w:lineRule="auto"/>
        <w:jc w:val="both"/>
        <w:rPr>
          <w:rFonts w:ascii="Cambria" w:hAnsi="Cambria"/>
          <w:bCs/>
        </w:rPr>
      </w:pPr>
      <w:r w:rsidRPr="00EA0EA9">
        <w:rPr>
          <w:rFonts w:ascii="Cambria" w:hAnsi="Cambria"/>
          <w:bCs/>
        </w:rPr>
        <w:lastRenderedPageBreak/>
        <w:t xml:space="preserve">The </w:t>
      </w:r>
      <w:r w:rsidRPr="00EA0EA9">
        <w:rPr>
          <w:rFonts w:ascii="Cambria" w:hAnsi="Cambria"/>
          <w:bCs/>
          <w:i/>
        </w:rPr>
        <w:t xml:space="preserve">Global Goals for Every Child </w:t>
      </w:r>
      <w:r w:rsidRPr="00EA0EA9">
        <w:rPr>
          <w:rFonts w:ascii="Cambria" w:hAnsi="Cambria"/>
          <w:bCs/>
        </w:rPr>
        <w:t xml:space="preserve">report </w:t>
      </w:r>
      <w:proofErr w:type="gramStart"/>
      <w:r w:rsidRPr="00EA0EA9">
        <w:rPr>
          <w:rFonts w:ascii="Cambria" w:hAnsi="Cambria"/>
          <w:bCs/>
        </w:rPr>
        <w:t>presents</w:t>
      </w:r>
      <w:proofErr w:type="gramEnd"/>
      <w:r w:rsidRPr="00EA0EA9">
        <w:rPr>
          <w:rFonts w:ascii="Cambria" w:hAnsi="Cambria"/>
          <w:bCs/>
        </w:rPr>
        <w:t xml:space="preserve"> an analysis of progress and disparities among children in South Africa. The report builds on the SDGs and groups together child-related SDGs and targets into six clusters: </w:t>
      </w:r>
      <w:r w:rsidRPr="00EA0EA9">
        <w:rPr>
          <w:rFonts w:ascii="Cambria" w:hAnsi="Cambria"/>
          <w:b/>
          <w:bCs/>
          <w:i/>
        </w:rPr>
        <w:t>social inclusion, nutrition, health and HIV, water and sanitation, education and child protection</w:t>
      </w:r>
      <w:r w:rsidRPr="00EA0EA9">
        <w:rPr>
          <w:rFonts w:ascii="Cambria" w:hAnsi="Cambria"/>
          <w:bCs/>
        </w:rPr>
        <w:t>. It uses selected indicators from the global indicator framework for which data are available to highlight critical gaps and challenges for children in South Africa. It relies on data derived from the latest nationally representative household surveys, such as Statistics South Africa’s General Household Survey and the Southern Africa Labour and Development Research Unit’s, National Income Dynamics Study, census, administrative data from government departments and agencies, and United Nations inter-agency estimates. The report demonstrates significant progress during the past two decades since 2002/3; in areas such as child poverty, child survival, mother-to-child transmission of HIV and primary school attendance, among others.  The challenges and prospects of child rights in South Africa are inextricably tied to the general and specific context of child rights in the Southern African Development Community (SADC) region.</w:t>
      </w:r>
    </w:p>
    <w:p w14:paraId="5587F2DA" w14:textId="77777777" w:rsidR="005F52B1" w:rsidRPr="00EA0EA9" w:rsidRDefault="005F52B1" w:rsidP="00163415">
      <w:pPr>
        <w:spacing w:line="276" w:lineRule="auto"/>
        <w:jc w:val="both"/>
        <w:rPr>
          <w:rFonts w:ascii="Cambria" w:hAnsi="Cambria"/>
          <w:bCs/>
        </w:rPr>
      </w:pPr>
    </w:p>
    <w:p w14:paraId="5B7C7E18" w14:textId="77777777" w:rsidR="005F52B1" w:rsidRPr="00EA0EA9" w:rsidRDefault="005F52B1" w:rsidP="00163415">
      <w:pPr>
        <w:spacing w:line="276" w:lineRule="auto"/>
        <w:jc w:val="both"/>
        <w:rPr>
          <w:rFonts w:ascii="Cambria" w:hAnsi="Cambria"/>
          <w:bCs/>
        </w:rPr>
      </w:pPr>
      <w:r w:rsidRPr="00EA0EA9">
        <w:rPr>
          <w:rFonts w:ascii="Cambria" w:hAnsi="Cambria"/>
          <w:bCs/>
        </w:rPr>
        <w:t>Despite the formal conservative fiscal policy posture adopted by the South African government between 1996 and 2000, it also undertook several wide-ranging direct measures intended to ensure the full realization of children’s socio-economic rights. Although there have been significant improvements</w:t>
      </w:r>
      <w:r w:rsidR="003E67A6" w:rsidRPr="00EA0EA9">
        <w:rPr>
          <w:rFonts w:ascii="Cambria" w:hAnsi="Cambria"/>
          <w:bCs/>
        </w:rPr>
        <w:t>. T</w:t>
      </w:r>
      <w:r w:rsidRPr="00EA0EA9">
        <w:rPr>
          <w:rFonts w:ascii="Cambria" w:hAnsi="Cambria"/>
          <w:bCs/>
        </w:rPr>
        <w:t xml:space="preserve">here </w:t>
      </w:r>
      <w:r w:rsidR="003E67A6" w:rsidRPr="00EA0EA9">
        <w:rPr>
          <w:rFonts w:ascii="Cambria" w:hAnsi="Cambria"/>
          <w:bCs/>
        </w:rPr>
        <w:t xml:space="preserve">is </w:t>
      </w:r>
      <w:r w:rsidRPr="00EA0EA9">
        <w:rPr>
          <w:rFonts w:ascii="Cambria" w:hAnsi="Cambria"/>
          <w:bCs/>
        </w:rPr>
        <w:t xml:space="preserve">still </w:t>
      </w:r>
      <w:r w:rsidR="003E67A6" w:rsidRPr="00EA0EA9">
        <w:rPr>
          <w:rFonts w:ascii="Cambria" w:hAnsi="Cambria"/>
          <w:bCs/>
        </w:rPr>
        <w:t>to strengthen –amongst other things-</w:t>
      </w:r>
      <w:r w:rsidRPr="00EA0EA9">
        <w:rPr>
          <w:rFonts w:ascii="Cambria" w:hAnsi="Cambria"/>
          <w:bCs/>
        </w:rPr>
        <w:t xml:space="preserve">child-specific rights in policy formulation, budget allocation process or </w:t>
      </w:r>
      <w:r w:rsidR="003E67A6" w:rsidRPr="00EA0EA9">
        <w:rPr>
          <w:rFonts w:ascii="Cambria" w:hAnsi="Cambria"/>
          <w:bCs/>
        </w:rPr>
        <w:t xml:space="preserve">development </w:t>
      </w:r>
      <w:r w:rsidRPr="00EA0EA9">
        <w:rPr>
          <w:rFonts w:ascii="Cambria" w:hAnsi="Cambria"/>
          <w:bCs/>
        </w:rPr>
        <w:t>programme of implementation</w:t>
      </w:r>
      <w:r w:rsidR="003E67A6" w:rsidRPr="00EA0EA9">
        <w:rPr>
          <w:rFonts w:ascii="Cambria" w:hAnsi="Cambria"/>
          <w:bCs/>
        </w:rPr>
        <w:t xml:space="preserve"> at all levels</w:t>
      </w:r>
      <w:r w:rsidRPr="00EA0EA9">
        <w:rPr>
          <w:rFonts w:ascii="Cambria" w:hAnsi="Cambria"/>
          <w:bCs/>
        </w:rPr>
        <w:t>. There is a demonstrable need to link government programmes and budgets to South Africa’s International, regional and constitutional obligations</w:t>
      </w:r>
      <w:r w:rsidRPr="00EA0EA9">
        <w:rPr>
          <w:rFonts w:ascii="Cambria" w:hAnsi="Cambria"/>
          <w:bCs/>
          <w:vertAlign w:val="superscript"/>
        </w:rPr>
        <w:footnoteReference w:id="13"/>
      </w:r>
      <w:r w:rsidR="003E67A6" w:rsidRPr="00EA0EA9">
        <w:rPr>
          <w:rFonts w:ascii="Cambria" w:hAnsi="Cambria"/>
          <w:bCs/>
        </w:rPr>
        <w:t xml:space="preserve"> in respect of Child Rights</w:t>
      </w:r>
      <w:r w:rsidRPr="00EA0EA9">
        <w:rPr>
          <w:rFonts w:ascii="Cambria" w:hAnsi="Cambria"/>
          <w:bCs/>
        </w:rPr>
        <w:t>. South African children are disproportionately affe</w:t>
      </w:r>
      <w:r w:rsidR="001228E0" w:rsidRPr="00EA0EA9">
        <w:rPr>
          <w:rFonts w:ascii="Cambria" w:hAnsi="Cambria"/>
          <w:bCs/>
        </w:rPr>
        <w:t>cted by poverty and one-</w:t>
      </w:r>
      <w:r w:rsidRPr="00EA0EA9">
        <w:rPr>
          <w:rFonts w:ascii="Cambria" w:hAnsi="Cambria"/>
          <w:bCs/>
        </w:rPr>
        <w:t>in</w:t>
      </w:r>
      <w:r w:rsidR="001228E0" w:rsidRPr="00EA0EA9">
        <w:rPr>
          <w:rFonts w:ascii="Cambria" w:hAnsi="Cambria"/>
          <w:bCs/>
        </w:rPr>
        <w:t>-</w:t>
      </w:r>
      <w:r w:rsidRPr="00EA0EA9">
        <w:rPr>
          <w:rFonts w:ascii="Cambria" w:hAnsi="Cambria"/>
          <w:bCs/>
        </w:rPr>
        <w:t>five live in overcrowded households, with one-in-three having limited access to water and one-in-four living without basic sanitation. There is a wide gulf still between the rights of the child recognized by the constitution, especially rights pertaining to dignity, equality, education, healthcare and social services and the actual practice on the ground. The gap between the rich and the poor is widening, and inequality is deepening.</w:t>
      </w:r>
    </w:p>
    <w:p w14:paraId="51FE43F2" w14:textId="77777777" w:rsidR="0078255D" w:rsidRPr="00EA0EA9" w:rsidRDefault="00670864" w:rsidP="00AA4AD1">
      <w:pPr>
        <w:pStyle w:val="Heading1"/>
        <w:numPr>
          <w:ilvl w:val="0"/>
          <w:numId w:val="75"/>
        </w:numPr>
        <w:spacing w:before="240"/>
        <w:ind w:left="714" w:hanging="357"/>
        <w:rPr>
          <w:rFonts w:eastAsia="Times New Roman"/>
          <w:color w:val="0000FF"/>
          <w:sz w:val="32"/>
          <w:lang w:eastAsia="en-GB"/>
        </w:rPr>
      </w:pPr>
      <w:bookmarkStart w:id="21" w:name="_Toc476983581"/>
      <w:r w:rsidRPr="00EA0EA9">
        <w:rPr>
          <w:rFonts w:eastAsia="Times New Roman"/>
          <w:color w:val="0000FF"/>
          <w:sz w:val="32"/>
          <w:lang w:eastAsia="en-GB"/>
        </w:rPr>
        <w:t xml:space="preserve">Child Rights in the </w:t>
      </w:r>
      <w:r w:rsidR="0078255D" w:rsidRPr="00EA0EA9">
        <w:rPr>
          <w:rFonts w:eastAsia="Times New Roman"/>
          <w:color w:val="0000FF"/>
          <w:sz w:val="32"/>
          <w:lang w:eastAsia="en-GB"/>
        </w:rPr>
        <w:t>SADC Context</w:t>
      </w:r>
      <w:bookmarkEnd w:id="21"/>
    </w:p>
    <w:p w14:paraId="228183F7" w14:textId="77777777" w:rsidR="005A1440" w:rsidRPr="00EA0EA9" w:rsidRDefault="005A1440" w:rsidP="005A1440">
      <w:pPr>
        <w:rPr>
          <w:lang w:eastAsia="en-GB"/>
        </w:rPr>
      </w:pPr>
    </w:p>
    <w:p w14:paraId="5DB06788" w14:textId="35102BA4" w:rsidR="0020001F" w:rsidRPr="00EA0EA9" w:rsidRDefault="00EE4E58" w:rsidP="005A1440">
      <w:pPr>
        <w:spacing w:line="276" w:lineRule="auto"/>
        <w:jc w:val="both"/>
        <w:rPr>
          <w:rFonts w:ascii="Cambria" w:hAnsi="Cambria"/>
        </w:rPr>
      </w:pPr>
      <w:r w:rsidRPr="00EA0EA9">
        <w:rPr>
          <w:rFonts w:ascii="Cambria" w:hAnsi="Cambria"/>
        </w:rPr>
        <w:t>C</w:t>
      </w:r>
      <w:r w:rsidR="0020001F" w:rsidRPr="00EA0EA9">
        <w:rPr>
          <w:rFonts w:ascii="Cambria" w:hAnsi="Cambria"/>
        </w:rPr>
        <w:t>ountries in Southern Africa share a history of colonialism. During this era, there was segregation in the way access t</w:t>
      </w:r>
      <w:r w:rsidR="00F57E0B" w:rsidRPr="00EA0EA9">
        <w:rPr>
          <w:rFonts w:ascii="Cambria" w:hAnsi="Cambria"/>
        </w:rPr>
        <w:t>o basic social services was administered</w:t>
      </w:r>
      <w:r w:rsidR="0020001F" w:rsidRPr="00EA0EA9">
        <w:rPr>
          <w:rFonts w:ascii="Cambria" w:hAnsi="Cambria"/>
        </w:rPr>
        <w:t xml:space="preserve"> and the legacy o</w:t>
      </w:r>
      <w:r w:rsidR="001E5A13" w:rsidRPr="00EA0EA9">
        <w:rPr>
          <w:rFonts w:ascii="Cambria" w:hAnsi="Cambria"/>
        </w:rPr>
        <w:t xml:space="preserve">f such is still evident. </w:t>
      </w:r>
      <w:r w:rsidR="0020001F" w:rsidRPr="00EA0EA9">
        <w:rPr>
          <w:rFonts w:ascii="Cambria" w:hAnsi="Cambria"/>
        </w:rPr>
        <w:t xml:space="preserve">This accounts for a lot of similarities in the issues needing attention in these countries. Arguably though, the protection of children’s rights is not a concept alien </w:t>
      </w:r>
      <w:r w:rsidR="00566992" w:rsidRPr="00EA0EA9">
        <w:rPr>
          <w:rFonts w:ascii="Cambria" w:hAnsi="Cambria"/>
        </w:rPr>
        <w:t xml:space="preserve">to traditional African culture. </w:t>
      </w:r>
      <w:r w:rsidR="0020001F" w:rsidRPr="00EA0EA9">
        <w:rPr>
          <w:rFonts w:ascii="Cambria" w:hAnsi="Cambria"/>
        </w:rPr>
        <w:t>Consequently</w:t>
      </w:r>
      <w:r w:rsidR="00DB7CB5">
        <w:rPr>
          <w:rFonts w:ascii="Cambria" w:hAnsi="Cambria"/>
        </w:rPr>
        <w:t xml:space="preserve">, </w:t>
      </w:r>
      <w:r w:rsidR="00B42BFB">
        <w:rPr>
          <w:rFonts w:ascii="Cambria" w:hAnsi="Cambria"/>
        </w:rPr>
        <w:t>i</w:t>
      </w:r>
      <w:r w:rsidR="0020001F" w:rsidRPr="00EA0EA9">
        <w:rPr>
          <w:rFonts w:ascii="Cambria" w:hAnsi="Cambria"/>
        </w:rPr>
        <w:t>nternational human rights principles relating to the protection of the child find support within the African cultural conception of human rights and the construct</w:t>
      </w:r>
      <w:r w:rsidR="002B333E" w:rsidRPr="00EA0EA9">
        <w:rPr>
          <w:rFonts w:ascii="Cambria" w:hAnsi="Cambria"/>
        </w:rPr>
        <w:t>ion of childhood. Most African c</w:t>
      </w:r>
      <w:r w:rsidR="0020001F" w:rsidRPr="00EA0EA9">
        <w:rPr>
          <w:rFonts w:ascii="Cambria" w:hAnsi="Cambria"/>
        </w:rPr>
        <w:t xml:space="preserve">ountries did not have </w:t>
      </w:r>
      <w:r w:rsidR="0020001F" w:rsidRPr="00EA0EA9">
        <w:rPr>
          <w:rFonts w:ascii="Cambria" w:hAnsi="Cambria"/>
        </w:rPr>
        <w:lastRenderedPageBreak/>
        <w:t>complications in ratifying the United Nations Convention on the Rights of the Child</w:t>
      </w:r>
      <w:r w:rsidR="00043976" w:rsidRPr="00EA0EA9">
        <w:rPr>
          <w:rFonts w:ascii="Cambria" w:hAnsi="Cambria"/>
        </w:rPr>
        <w:t xml:space="preserve"> </w:t>
      </w:r>
      <w:r w:rsidR="0020001F" w:rsidRPr="00EA0EA9">
        <w:rPr>
          <w:rFonts w:ascii="Cambria" w:hAnsi="Cambria"/>
        </w:rPr>
        <w:t>(UNCRC) and the African Charter on the Rights and the Welfare of the child. There are however some issues that are cross-cutting that need to be addressed in all the countries.</w:t>
      </w:r>
      <w:r w:rsidR="008450DA">
        <w:rPr>
          <w:rFonts w:ascii="Cambria" w:hAnsi="Cambria"/>
        </w:rPr>
        <w:t xml:space="preserve"> </w:t>
      </w:r>
      <w:r w:rsidR="0020001F" w:rsidRPr="00EA0EA9">
        <w:rPr>
          <w:rFonts w:ascii="Cambria" w:hAnsi="Cambria"/>
        </w:rPr>
        <w:t>One such pertinent cross cutting issue requiring urgent attention is the general unavailability of a rights culture in all the countries. SADC countries have come up with good legal instruments meant to protect children. For example</w:t>
      </w:r>
      <w:r w:rsidR="008450DA">
        <w:rPr>
          <w:rFonts w:ascii="Cambria" w:hAnsi="Cambria"/>
        </w:rPr>
        <w:t>,</w:t>
      </w:r>
      <w:r w:rsidR="0020001F" w:rsidRPr="00EA0EA9">
        <w:rPr>
          <w:rFonts w:ascii="Cambria" w:hAnsi="Cambria"/>
        </w:rPr>
        <w:t xml:space="preserve"> South Africa promulgated the Child Care Act 74 of 1983. In Namibia, the national constitution- Article 15, stipulate the rights of children that should be protected, promoted and respected. Most citizens are not aware of these normative instruments and standards. African children as the rights claimers are even less aware of their rights and the means available for them to demand and enjoy the said rights. There is a palpable need of inculcating a rights culture in the children in the countries in question.</w:t>
      </w:r>
    </w:p>
    <w:p w14:paraId="5380AD36" w14:textId="77777777" w:rsidR="0020001F" w:rsidRPr="00EA0EA9" w:rsidRDefault="0020001F" w:rsidP="005A1440">
      <w:pPr>
        <w:spacing w:line="276" w:lineRule="auto"/>
        <w:jc w:val="both"/>
        <w:rPr>
          <w:rFonts w:ascii="Cambria" w:hAnsi="Cambria"/>
        </w:rPr>
      </w:pPr>
    </w:p>
    <w:p w14:paraId="0A81E489" w14:textId="77777777" w:rsidR="0020001F" w:rsidRPr="00EA0EA9" w:rsidRDefault="0020001F" w:rsidP="005A1440">
      <w:pPr>
        <w:spacing w:line="276" w:lineRule="auto"/>
        <w:jc w:val="both"/>
        <w:rPr>
          <w:rFonts w:ascii="Cambria" w:hAnsi="Cambria"/>
        </w:rPr>
      </w:pPr>
      <w:r w:rsidRPr="00EA0EA9">
        <w:rPr>
          <w:rFonts w:ascii="Cambria" w:hAnsi="Cambria"/>
        </w:rPr>
        <w:t>In the majority of SADC countries</w:t>
      </w:r>
      <w:r w:rsidR="002B333E" w:rsidRPr="00EA0EA9">
        <w:rPr>
          <w:rFonts w:ascii="Cambria" w:hAnsi="Cambria"/>
        </w:rPr>
        <w:t>,</w:t>
      </w:r>
      <w:r w:rsidRPr="00EA0EA9">
        <w:rPr>
          <w:rFonts w:ascii="Cambria" w:hAnsi="Cambria"/>
        </w:rPr>
        <w:t xml:space="preserve"> there are no institutions in place that facilitate the collection, collation and sharing of up to date information about children’s rights. Information on the state of children’s rights is scattered in several documents, institutions and government department. Such information cannot be used to make any policy decision or to inform programmatic interventions</w:t>
      </w:r>
      <w:r w:rsidR="00AA4AD1" w:rsidRPr="00EA0EA9">
        <w:rPr>
          <w:rStyle w:val="FootnoteReference"/>
          <w:rFonts w:ascii="Cambria" w:hAnsi="Cambria"/>
        </w:rPr>
        <w:footnoteReference w:id="14"/>
      </w:r>
      <w:r w:rsidRPr="00EA0EA9">
        <w:rPr>
          <w:rFonts w:ascii="Cambria" w:hAnsi="Cambria"/>
        </w:rPr>
        <w:t>.</w:t>
      </w:r>
      <w:r w:rsidR="00AA4AD1" w:rsidRPr="00EA0EA9">
        <w:rPr>
          <w:rFonts w:ascii="Cambria" w:hAnsi="Cambria"/>
        </w:rPr>
        <w:t xml:space="preserve"> N</w:t>
      </w:r>
      <w:r w:rsidRPr="00EA0EA9">
        <w:rPr>
          <w:rFonts w:ascii="Cambria" w:hAnsi="Cambria"/>
        </w:rPr>
        <w:t xml:space="preserve">ational statistical offices, CSOs, ministries and local government structures need mechanisms and institutions that collect, collate and disseminate up to date information on the state of children’s rights in each country. Arguably, advocacy at the SADC level and within SADC countries is weak because it is not always empirically based. A handful of child rights organizations have endeavoured over the last decade to draw up data and </w:t>
      </w:r>
      <w:proofErr w:type="spellStart"/>
      <w:r w:rsidRPr="00EA0EA9">
        <w:rPr>
          <w:rFonts w:ascii="Cambria" w:hAnsi="Cambria"/>
        </w:rPr>
        <w:t>analyze</w:t>
      </w:r>
      <w:proofErr w:type="spellEnd"/>
      <w:r w:rsidRPr="00EA0EA9">
        <w:rPr>
          <w:rFonts w:ascii="Cambria" w:hAnsi="Cambria"/>
        </w:rPr>
        <w:t xml:space="preserve"> patterns of child rights abuses within the SADC region. </w:t>
      </w:r>
    </w:p>
    <w:p w14:paraId="34290F2C" w14:textId="77777777" w:rsidR="0020001F" w:rsidRPr="00EA0EA9" w:rsidRDefault="004F11FC" w:rsidP="00AA4AD1">
      <w:pPr>
        <w:pStyle w:val="Heading2"/>
        <w:numPr>
          <w:ilvl w:val="1"/>
          <w:numId w:val="75"/>
        </w:numPr>
        <w:jc w:val="both"/>
        <w:rPr>
          <w:i/>
          <w:color w:val="CC0000"/>
          <w:sz w:val="28"/>
        </w:rPr>
      </w:pPr>
      <w:bookmarkStart w:id="22" w:name="_Toc476983582"/>
      <w:r w:rsidRPr="00EA0EA9">
        <w:rPr>
          <w:i/>
          <w:color w:val="CC0000"/>
          <w:sz w:val="28"/>
        </w:rPr>
        <w:t>Harmful C</w:t>
      </w:r>
      <w:r w:rsidR="0020001F" w:rsidRPr="00EA0EA9">
        <w:rPr>
          <w:i/>
          <w:color w:val="CC0000"/>
          <w:sz w:val="28"/>
        </w:rPr>
        <w:t xml:space="preserve">ultural </w:t>
      </w:r>
      <w:r w:rsidRPr="00EA0EA9">
        <w:rPr>
          <w:i/>
          <w:color w:val="CC0000"/>
          <w:sz w:val="28"/>
        </w:rPr>
        <w:t>P</w:t>
      </w:r>
      <w:r w:rsidR="0020001F" w:rsidRPr="00EA0EA9">
        <w:rPr>
          <w:i/>
          <w:color w:val="CC0000"/>
          <w:sz w:val="28"/>
        </w:rPr>
        <w:t>ractices</w:t>
      </w:r>
      <w:bookmarkEnd w:id="22"/>
    </w:p>
    <w:p w14:paraId="2637D5B1" w14:textId="77777777" w:rsidR="0020001F" w:rsidRPr="00EA0EA9" w:rsidRDefault="0020001F" w:rsidP="009B0063">
      <w:pPr>
        <w:spacing w:line="120" w:lineRule="auto"/>
        <w:jc w:val="both"/>
        <w:rPr>
          <w:rFonts w:ascii="Cambria" w:hAnsi="Cambria"/>
        </w:rPr>
      </w:pPr>
    </w:p>
    <w:p w14:paraId="470D9E73" w14:textId="22FFFC10" w:rsidR="0020001F" w:rsidRPr="00EA0EA9" w:rsidRDefault="0020001F" w:rsidP="005A1440">
      <w:pPr>
        <w:spacing w:line="276" w:lineRule="auto"/>
        <w:jc w:val="both"/>
        <w:rPr>
          <w:rFonts w:ascii="Cambria" w:hAnsi="Cambria"/>
        </w:rPr>
      </w:pPr>
      <w:r w:rsidRPr="00EA0EA9">
        <w:rPr>
          <w:rFonts w:ascii="Cambria" w:hAnsi="Cambria"/>
        </w:rPr>
        <w:t xml:space="preserve">Despite significant efforts of governments </w:t>
      </w:r>
      <w:r w:rsidR="00406C20" w:rsidRPr="00EA0EA9">
        <w:rPr>
          <w:rFonts w:ascii="Cambria" w:hAnsi="Cambria"/>
        </w:rPr>
        <w:t xml:space="preserve">in the SADC region </w:t>
      </w:r>
      <w:r w:rsidRPr="00EA0EA9">
        <w:rPr>
          <w:rFonts w:ascii="Cambria" w:hAnsi="Cambria"/>
        </w:rPr>
        <w:t>to ensure the rights of children, the latter are prone to harmful cultural practices. Such practices as child pledging, unsafe ritual practices as can be noted in Mozambique, religious beliefs as can be exemplified in Zimbabwe</w:t>
      </w:r>
      <w:r w:rsidR="003C4F1E" w:rsidRPr="00EA0EA9">
        <w:rPr>
          <w:rFonts w:ascii="Cambria" w:hAnsi="Cambria"/>
        </w:rPr>
        <w:t>,</w:t>
      </w:r>
      <w:r w:rsidRPr="00EA0EA9">
        <w:rPr>
          <w:rFonts w:ascii="Cambria" w:hAnsi="Cambria"/>
        </w:rPr>
        <w:t xml:space="preserve"> using the white garment apostolic sect which does not believe i</w:t>
      </w:r>
      <w:r w:rsidR="00031BCF" w:rsidRPr="00EA0EA9">
        <w:rPr>
          <w:rFonts w:ascii="Cambria" w:hAnsi="Cambria"/>
        </w:rPr>
        <w:t xml:space="preserve">n the immunization of children. </w:t>
      </w:r>
      <w:r w:rsidR="003C4F1E" w:rsidRPr="00EA0EA9">
        <w:rPr>
          <w:rFonts w:ascii="Cambria" w:hAnsi="Cambria"/>
        </w:rPr>
        <w:t xml:space="preserve">Additionally, </w:t>
      </w:r>
      <w:r w:rsidRPr="00EA0EA9">
        <w:rPr>
          <w:rFonts w:ascii="Cambria" w:hAnsi="Cambria"/>
        </w:rPr>
        <w:t>Mozambique has one of the world’s highest rates of child marriage.</w:t>
      </w:r>
      <w:r w:rsidR="008450DA">
        <w:rPr>
          <w:rFonts w:ascii="Cambria" w:hAnsi="Cambria"/>
        </w:rPr>
        <w:t xml:space="preserve"> </w:t>
      </w:r>
      <w:r w:rsidRPr="00EA0EA9">
        <w:rPr>
          <w:rFonts w:ascii="Cambria" w:hAnsi="Cambria"/>
        </w:rPr>
        <w:t>Specific cultural practices where children are considered ready for marriage after initiation rites contribute to a high rate of early marriages. Data from the 2003 Demographic and Heal</w:t>
      </w:r>
      <w:r w:rsidR="008F187B" w:rsidRPr="00EA0EA9">
        <w:rPr>
          <w:rFonts w:ascii="Cambria" w:hAnsi="Cambria"/>
        </w:rPr>
        <w:t>th survey indicates that 18%</w:t>
      </w:r>
      <w:r w:rsidRPr="00EA0EA9">
        <w:rPr>
          <w:rFonts w:ascii="Cambria" w:hAnsi="Cambria"/>
        </w:rPr>
        <w:t xml:space="preserve"> of young women aged 20-24 had been married before the age of 15 and 56 </w:t>
      </w:r>
      <w:r w:rsidR="008F187B" w:rsidRPr="00EA0EA9">
        <w:rPr>
          <w:rFonts w:ascii="Cambria" w:hAnsi="Cambria"/>
        </w:rPr>
        <w:t>%</w:t>
      </w:r>
      <w:r w:rsidRPr="00EA0EA9">
        <w:rPr>
          <w:rFonts w:ascii="Cambria" w:hAnsi="Cambria"/>
        </w:rPr>
        <w:t xml:space="preserve"> before the</w:t>
      </w:r>
      <w:r w:rsidR="008F187B" w:rsidRPr="00EA0EA9">
        <w:rPr>
          <w:rFonts w:ascii="Cambria" w:hAnsi="Cambria"/>
        </w:rPr>
        <w:t xml:space="preserve"> age of 17. In Mozambique, 36.9%</w:t>
      </w:r>
      <w:r w:rsidRPr="00EA0EA9">
        <w:rPr>
          <w:rFonts w:ascii="Cambria" w:hAnsi="Cambria"/>
        </w:rPr>
        <w:t xml:space="preserve"> of married girls aged 15 to 19 have no education. Teenage pregnancy and childbirth </w:t>
      </w:r>
      <w:proofErr w:type="gramStart"/>
      <w:r w:rsidRPr="00EA0EA9">
        <w:rPr>
          <w:rFonts w:ascii="Cambria" w:hAnsi="Cambria"/>
        </w:rPr>
        <w:t>is</w:t>
      </w:r>
      <w:proofErr w:type="gramEnd"/>
      <w:r w:rsidRPr="00EA0EA9">
        <w:rPr>
          <w:rFonts w:ascii="Cambria" w:hAnsi="Cambria"/>
        </w:rPr>
        <w:t xml:space="preserve"> associated with poor health outcomes for both the mother and child.</w:t>
      </w:r>
    </w:p>
    <w:p w14:paraId="70846FA0" w14:textId="77777777" w:rsidR="000A1D18" w:rsidRPr="00EA0EA9" w:rsidRDefault="000A1D18" w:rsidP="005A1440">
      <w:pPr>
        <w:spacing w:line="276" w:lineRule="auto"/>
        <w:jc w:val="both"/>
        <w:rPr>
          <w:rFonts w:ascii="Cambria" w:hAnsi="Cambria"/>
        </w:rPr>
      </w:pPr>
    </w:p>
    <w:p w14:paraId="23BB42C4" w14:textId="77777777" w:rsidR="000A1D18" w:rsidRPr="00EA0EA9" w:rsidRDefault="000A1D18" w:rsidP="005A1440">
      <w:pPr>
        <w:spacing w:line="276" w:lineRule="auto"/>
        <w:jc w:val="both"/>
        <w:rPr>
          <w:rFonts w:ascii="Cambria" w:hAnsi="Cambria"/>
        </w:rPr>
      </w:pPr>
    </w:p>
    <w:p w14:paraId="61FD1392" w14:textId="77777777" w:rsidR="0020001F" w:rsidRPr="00EA0EA9" w:rsidRDefault="000221BF" w:rsidP="00AA4AD1">
      <w:pPr>
        <w:pStyle w:val="Heading2"/>
        <w:numPr>
          <w:ilvl w:val="1"/>
          <w:numId w:val="75"/>
        </w:numPr>
        <w:jc w:val="both"/>
        <w:rPr>
          <w:i/>
          <w:color w:val="CC0000"/>
          <w:sz w:val="28"/>
        </w:rPr>
      </w:pPr>
      <w:bookmarkStart w:id="23" w:name="_Toc476983583"/>
      <w:r w:rsidRPr="00EA0EA9">
        <w:rPr>
          <w:i/>
          <w:color w:val="CC0000"/>
          <w:sz w:val="28"/>
        </w:rPr>
        <w:lastRenderedPageBreak/>
        <w:t>Child Sexual A</w:t>
      </w:r>
      <w:r w:rsidR="0020001F" w:rsidRPr="00EA0EA9">
        <w:rPr>
          <w:i/>
          <w:color w:val="CC0000"/>
          <w:sz w:val="28"/>
        </w:rPr>
        <w:t>buse</w:t>
      </w:r>
      <w:bookmarkEnd w:id="23"/>
    </w:p>
    <w:p w14:paraId="44E4B4FC" w14:textId="77777777" w:rsidR="00F718CF" w:rsidRPr="00EA0EA9" w:rsidRDefault="00F718CF" w:rsidP="009869E3">
      <w:pPr>
        <w:spacing w:line="120" w:lineRule="auto"/>
      </w:pPr>
    </w:p>
    <w:p w14:paraId="1500056F" w14:textId="77777777" w:rsidR="0020001F" w:rsidRPr="00EA0EA9" w:rsidRDefault="0020001F" w:rsidP="005A1440">
      <w:pPr>
        <w:spacing w:line="276" w:lineRule="auto"/>
        <w:jc w:val="both"/>
        <w:rPr>
          <w:rFonts w:ascii="Cambria" w:hAnsi="Cambria"/>
        </w:rPr>
      </w:pPr>
      <w:r w:rsidRPr="00EA0EA9">
        <w:rPr>
          <w:rFonts w:ascii="Cambria" w:hAnsi="Cambria"/>
        </w:rPr>
        <w:t>Child sexual abuse has been noted as one of the challenges in the identified countries. Available data in Zimbabwe shows that 60% of rape survivors brought to the attention of the authorities are children, and an overwhelming majority of the victims are girls. In 2009, the Zimbabwe Republic Police recorded 3448 child abuse cases while the Victim Friendly Court dealt with 1222 cases. This is believed to be only the tip of the iceberg as the majority of abuse cases are not reported to the authorities. In Mozambique, case studies suggest that 8</w:t>
      </w:r>
      <w:r w:rsidR="00B77A5D" w:rsidRPr="00EA0EA9">
        <w:rPr>
          <w:rFonts w:ascii="Cambria" w:hAnsi="Cambria"/>
        </w:rPr>
        <w:t xml:space="preserve">% </w:t>
      </w:r>
      <w:r w:rsidRPr="00EA0EA9">
        <w:rPr>
          <w:rFonts w:ascii="Cambria" w:hAnsi="Cambria"/>
        </w:rPr>
        <w:t>of primary school children have been</w:t>
      </w:r>
      <w:r w:rsidR="00D12CD4" w:rsidRPr="00EA0EA9">
        <w:rPr>
          <w:rFonts w:ascii="Cambria" w:hAnsi="Cambria"/>
        </w:rPr>
        <w:t xml:space="preserve"> sexually abused and another 35% </w:t>
      </w:r>
      <w:r w:rsidRPr="00EA0EA9">
        <w:rPr>
          <w:rFonts w:ascii="Cambria" w:hAnsi="Cambria"/>
        </w:rPr>
        <w:t>have experienced sexual harassment. South Africa has promulgated the Child Care Amendment Act, (86 of 1991; 13 of 1999) which makes sexual abuse of children a criminal offense. Despite this law in South Africa, the numbers of child abuse cases are not reducing.</w:t>
      </w:r>
    </w:p>
    <w:p w14:paraId="3CDD3DA7" w14:textId="77777777" w:rsidR="0020001F" w:rsidRPr="00EA0EA9" w:rsidRDefault="00CF4FDD" w:rsidP="00AA4AD1">
      <w:pPr>
        <w:pStyle w:val="Heading2"/>
        <w:numPr>
          <w:ilvl w:val="1"/>
          <w:numId w:val="75"/>
        </w:numPr>
        <w:spacing w:after="240"/>
        <w:jc w:val="both"/>
        <w:rPr>
          <w:color w:val="CC0000"/>
          <w:sz w:val="28"/>
        </w:rPr>
      </w:pPr>
      <w:bookmarkStart w:id="24" w:name="_Toc476983584"/>
      <w:r w:rsidRPr="00EA0EA9">
        <w:rPr>
          <w:color w:val="CC0000"/>
          <w:sz w:val="28"/>
        </w:rPr>
        <w:t>Access to Quality Education</w:t>
      </w:r>
      <w:bookmarkEnd w:id="24"/>
    </w:p>
    <w:p w14:paraId="0E9310B4" w14:textId="0C7F5850" w:rsidR="0020001F" w:rsidRPr="00EA0EA9" w:rsidRDefault="00F428B0" w:rsidP="009869E3">
      <w:pPr>
        <w:spacing w:after="240" w:line="276" w:lineRule="auto"/>
        <w:jc w:val="both"/>
        <w:rPr>
          <w:rFonts w:ascii="Cambria" w:hAnsi="Cambria"/>
        </w:rPr>
      </w:pPr>
      <w:r w:rsidRPr="00EA0EA9">
        <w:rPr>
          <w:rFonts w:ascii="Cambria" w:hAnsi="Cambria"/>
        </w:rPr>
        <w:t>Access to education in the SADC region has seen positive development since the turn of the millennium, including in post-conflict countries such as Angola and Mozambique. However, other structural factors severely constrain the quality of education and overall learners’ performance. For instance,</w:t>
      </w:r>
      <w:r w:rsidR="00140A25" w:rsidRPr="00EA0EA9">
        <w:rPr>
          <w:rFonts w:ascii="Cambria" w:hAnsi="Cambria"/>
        </w:rPr>
        <w:t xml:space="preserve"> </w:t>
      </w:r>
      <w:r w:rsidR="0020001F" w:rsidRPr="00EA0EA9">
        <w:rPr>
          <w:rFonts w:ascii="Cambria" w:hAnsi="Cambria"/>
        </w:rPr>
        <w:t>South Africa</w:t>
      </w:r>
      <w:r w:rsidR="00EF6555" w:rsidRPr="00EA0EA9">
        <w:rPr>
          <w:rFonts w:ascii="Cambria" w:hAnsi="Cambria"/>
        </w:rPr>
        <w:t xml:space="preserve"> has done well in terms of </w:t>
      </w:r>
      <w:r w:rsidR="0020001F" w:rsidRPr="00EA0EA9">
        <w:rPr>
          <w:rFonts w:ascii="Cambria" w:hAnsi="Cambria"/>
        </w:rPr>
        <w:t>access to primary education. Gross enrolment rate in primary education (grade 1-7) is 98</w:t>
      </w:r>
      <w:r w:rsidR="00B4645F" w:rsidRPr="00EA0EA9">
        <w:rPr>
          <w:rFonts w:ascii="Cambria" w:hAnsi="Cambria"/>
        </w:rPr>
        <w:t>%</w:t>
      </w:r>
      <w:r w:rsidR="0020001F" w:rsidRPr="00EA0EA9">
        <w:rPr>
          <w:rFonts w:ascii="Cambria" w:hAnsi="Cambria"/>
        </w:rPr>
        <w:t xml:space="preserve"> and in secondary</w:t>
      </w:r>
      <w:r w:rsidR="00B4645F" w:rsidRPr="00EA0EA9">
        <w:rPr>
          <w:rFonts w:ascii="Cambria" w:hAnsi="Cambria"/>
        </w:rPr>
        <w:t xml:space="preserve"> education (grade 8-12) is 85%</w:t>
      </w:r>
      <w:r w:rsidR="0020001F" w:rsidRPr="00EA0EA9">
        <w:rPr>
          <w:rFonts w:ascii="Cambria" w:hAnsi="Cambria"/>
        </w:rPr>
        <w:t>; the gender parity index is 0.98 and 1.08 respectively suggesting that girls and boys have</w:t>
      </w:r>
      <w:r w:rsidR="00B4645F" w:rsidRPr="00EA0EA9">
        <w:rPr>
          <w:rFonts w:ascii="Cambria" w:hAnsi="Cambria"/>
        </w:rPr>
        <w:t xml:space="preserve"> equitable access to education.</w:t>
      </w:r>
      <w:r w:rsidR="0020001F" w:rsidRPr="00EA0EA9">
        <w:rPr>
          <w:rFonts w:ascii="Cambria" w:hAnsi="Cambria"/>
        </w:rPr>
        <w:t xml:space="preserve"> Attendance of early childhood development forms and reception-year are low due to lack of means at household level, insufficient supply and poor quality at institutional level, and lack of appropriate norms and standards at structural level. Net school attendance of children of primary schools </w:t>
      </w:r>
      <w:r w:rsidR="00B4645F" w:rsidRPr="00EA0EA9">
        <w:rPr>
          <w:rFonts w:ascii="Cambria" w:hAnsi="Cambria"/>
        </w:rPr>
        <w:t>age (7 to 13 years) is 98%</w:t>
      </w:r>
      <w:r w:rsidR="003723DE" w:rsidRPr="00EA0EA9">
        <w:rPr>
          <w:rFonts w:ascii="Cambria" w:hAnsi="Cambria"/>
        </w:rPr>
        <w:t xml:space="preserve">, </w:t>
      </w:r>
      <w:r w:rsidR="00140A25" w:rsidRPr="00EA0EA9">
        <w:rPr>
          <w:rFonts w:ascii="Cambria" w:hAnsi="Cambria"/>
        </w:rPr>
        <w:t>notwithstanding</w:t>
      </w:r>
      <w:r w:rsidRPr="00EA0EA9">
        <w:rPr>
          <w:rFonts w:ascii="Cambria" w:hAnsi="Cambria"/>
        </w:rPr>
        <w:t xml:space="preserve"> the evident</w:t>
      </w:r>
      <w:r w:rsidR="0020001F" w:rsidRPr="00EA0EA9">
        <w:rPr>
          <w:rFonts w:ascii="Cambria" w:hAnsi="Cambria"/>
        </w:rPr>
        <w:t xml:space="preserve"> high access to education</w:t>
      </w:r>
      <w:r w:rsidRPr="00EA0EA9">
        <w:rPr>
          <w:rFonts w:ascii="Cambria" w:hAnsi="Cambria"/>
        </w:rPr>
        <w:t>, actual</w:t>
      </w:r>
      <w:r w:rsidR="0020001F" w:rsidRPr="00EA0EA9">
        <w:rPr>
          <w:rFonts w:ascii="Cambria" w:hAnsi="Cambria"/>
        </w:rPr>
        <w:t xml:space="preserve"> achievement of learners is </w:t>
      </w:r>
      <w:r w:rsidRPr="00EA0EA9">
        <w:rPr>
          <w:rFonts w:ascii="Cambria" w:hAnsi="Cambria"/>
        </w:rPr>
        <w:t>below standard in terms of both literacy and numeracy</w:t>
      </w:r>
      <w:r w:rsidR="0020001F" w:rsidRPr="00EA0EA9">
        <w:rPr>
          <w:rFonts w:ascii="Cambria" w:hAnsi="Cambria"/>
        </w:rPr>
        <w:t>. Systemic evaluation conducted among Grade 3 students in</w:t>
      </w:r>
      <w:r w:rsidR="00214AAE" w:rsidRPr="00EA0EA9">
        <w:rPr>
          <w:rFonts w:ascii="Cambria" w:hAnsi="Cambria"/>
        </w:rPr>
        <w:t xml:space="preserve"> 2007</w:t>
      </w:r>
      <w:r w:rsidRPr="00EA0EA9">
        <w:rPr>
          <w:rFonts w:ascii="Cambria" w:hAnsi="Cambria"/>
        </w:rPr>
        <w:t xml:space="preserve"> in South Africa</w:t>
      </w:r>
      <w:r w:rsidR="00214AAE" w:rsidRPr="00EA0EA9">
        <w:rPr>
          <w:rFonts w:ascii="Cambria" w:hAnsi="Cambria"/>
        </w:rPr>
        <w:t xml:space="preserve"> found very low scores: 36% </w:t>
      </w:r>
      <w:r w:rsidR="0020001F" w:rsidRPr="00EA0EA9">
        <w:rPr>
          <w:rFonts w:ascii="Cambria" w:hAnsi="Cambria"/>
        </w:rPr>
        <w:t>for literacy and 35</w:t>
      </w:r>
      <w:r w:rsidR="00214AAE" w:rsidRPr="00EA0EA9">
        <w:rPr>
          <w:rFonts w:ascii="Cambria" w:hAnsi="Cambria"/>
        </w:rPr>
        <w:t>%</w:t>
      </w:r>
      <w:r w:rsidR="0020001F" w:rsidRPr="00EA0EA9">
        <w:rPr>
          <w:rFonts w:ascii="Cambria" w:hAnsi="Cambria"/>
        </w:rPr>
        <w:t xml:space="preserve"> for numeracy on average. In the same year</w:t>
      </w:r>
      <w:r w:rsidR="001E64B2">
        <w:rPr>
          <w:rFonts w:ascii="Cambria" w:hAnsi="Cambria"/>
        </w:rPr>
        <w:t>,</w:t>
      </w:r>
      <w:r w:rsidR="0020001F" w:rsidRPr="00EA0EA9">
        <w:rPr>
          <w:rFonts w:ascii="Cambria" w:hAnsi="Cambria"/>
        </w:rPr>
        <w:t xml:space="preserve"> only 50</w:t>
      </w:r>
      <w:r w:rsidR="00B83FEE" w:rsidRPr="00EA0EA9">
        <w:rPr>
          <w:rFonts w:ascii="Cambria" w:hAnsi="Cambria"/>
        </w:rPr>
        <w:t>%</w:t>
      </w:r>
      <w:r w:rsidR="0020001F" w:rsidRPr="00EA0EA9">
        <w:rPr>
          <w:rFonts w:ascii="Cambria" w:hAnsi="Cambria"/>
        </w:rPr>
        <w:t xml:space="preserve"> of the candidates</w:t>
      </w:r>
      <w:r w:rsidR="00B83FEE" w:rsidRPr="00EA0EA9">
        <w:rPr>
          <w:rFonts w:ascii="Cambria" w:hAnsi="Cambria"/>
        </w:rPr>
        <w:t xml:space="preserve"> for Senior Certificate passed.</w:t>
      </w:r>
      <w:r w:rsidR="00140A25" w:rsidRPr="00EA0EA9">
        <w:rPr>
          <w:rFonts w:ascii="Cambria" w:hAnsi="Cambria"/>
        </w:rPr>
        <w:t xml:space="preserve"> </w:t>
      </w:r>
      <w:r w:rsidRPr="00EA0EA9">
        <w:rPr>
          <w:rFonts w:ascii="Cambria" w:hAnsi="Cambria"/>
        </w:rPr>
        <w:t>Similarly –and for somewhat different reasons-</w:t>
      </w:r>
      <w:r w:rsidR="0020001F" w:rsidRPr="00EA0EA9">
        <w:rPr>
          <w:rFonts w:ascii="Cambria" w:hAnsi="Cambria"/>
        </w:rPr>
        <w:t xml:space="preserve"> the pass rate for Zimbabwe has been plunging</w:t>
      </w:r>
      <w:r w:rsidRPr="00EA0EA9">
        <w:rPr>
          <w:rFonts w:ascii="Cambria" w:hAnsi="Cambria"/>
        </w:rPr>
        <w:t xml:space="preserve"> since 2005</w:t>
      </w:r>
      <w:r w:rsidR="0020001F" w:rsidRPr="00EA0EA9">
        <w:rPr>
          <w:rFonts w:ascii="Cambria" w:hAnsi="Cambria"/>
        </w:rPr>
        <w:t xml:space="preserve">. In 2008, only 20% of pupils passed primary exams and the pass rate at </w:t>
      </w:r>
      <w:r w:rsidR="008F1F36" w:rsidRPr="00EA0EA9">
        <w:rPr>
          <w:rFonts w:ascii="Cambria" w:hAnsi="Cambria"/>
        </w:rPr>
        <w:t xml:space="preserve">Cambridge </w:t>
      </w:r>
      <w:r w:rsidR="0020001F" w:rsidRPr="00EA0EA9">
        <w:rPr>
          <w:rFonts w:ascii="Cambria" w:hAnsi="Cambria"/>
        </w:rPr>
        <w:t>O</w:t>
      </w:r>
      <w:r w:rsidR="008F1F36" w:rsidRPr="00EA0EA9">
        <w:rPr>
          <w:rFonts w:ascii="Cambria" w:hAnsi="Cambria"/>
        </w:rPr>
        <w:t>rdinary</w:t>
      </w:r>
      <w:r w:rsidR="00140A25" w:rsidRPr="00EA0EA9">
        <w:rPr>
          <w:rFonts w:ascii="Cambria" w:hAnsi="Cambria"/>
        </w:rPr>
        <w:t xml:space="preserve"> </w:t>
      </w:r>
      <w:r w:rsidR="008F1F36" w:rsidRPr="00EA0EA9">
        <w:rPr>
          <w:rFonts w:ascii="Cambria" w:hAnsi="Cambria"/>
        </w:rPr>
        <w:t xml:space="preserve">Examination </w:t>
      </w:r>
      <w:r w:rsidR="00B83FEE" w:rsidRPr="00EA0EA9">
        <w:rPr>
          <w:rFonts w:ascii="Cambria" w:hAnsi="Cambria"/>
        </w:rPr>
        <w:t>level</w:t>
      </w:r>
      <w:r w:rsidR="00140A25" w:rsidRPr="00EA0EA9">
        <w:rPr>
          <w:rFonts w:ascii="Cambria" w:hAnsi="Cambria"/>
        </w:rPr>
        <w:t xml:space="preserve"> </w:t>
      </w:r>
      <w:r w:rsidR="008F1F36" w:rsidRPr="00EA0EA9">
        <w:rPr>
          <w:rFonts w:ascii="Cambria" w:hAnsi="Cambria"/>
        </w:rPr>
        <w:t>(i.e. after four years of high school)</w:t>
      </w:r>
      <w:r w:rsidR="00B83FEE" w:rsidRPr="00EA0EA9">
        <w:rPr>
          <w:rFonts w:ascii="Cambria" w:hAnsi="Cambria"/>
        </w:rPr>
        <w:t xml:space="preserve"> also </w:t>
      </w:r>
      <w:r w:rsidR="008F1F36" w:rsidRPr="00EA0EA9">
        <w:rPr>
          <w:rFonts w:ascii="Cambria" w:hAnsi="Cambria"/>
        </w:rPr>
        <w:t>declined significantly</w:t>
      </w:r>
      <w:r w:rsidR="00B83FEE" w:rsidRPr="00EA0EA9">
        <w:rPr>
          <w:rFonts w:ascii="Cambria" w:hAnsi="Cambria"/>
        </w:rPr>
        <w:t>.</w:t>
      </w:r>
      <w:r w:rsidR="0020001F" w:rsidRPr="00EA0EA9">
        <w:rPr>
          <w:rFonts w:ascii="Cambria" w:hAnsi="Cambria"/>
        </w:rPr>
        <w:t xml:space="preserve"> A number of factors contributed to the poor quality of education</w:t>
      </w:r>
      <w:r w:rsidR="008F1F36" w:rsidRPr="00EA0EA9">
        <w:rPr>
          <w:rFonts w:ascii="Cambria" w:hAnsi="Cambria"/>
        </w:rPr>
        <w:t xml:space="preserve"> in Zimbabwe and South Africa , including –but not limited to the following</w:t>
      </w:r>
      <w:r w:rsidR="0020001F" w:rsidRPr="00EA0EA9">
        <w:rPr>
          <w:rFonts w:ascii="Cambria" w:hAnsi="Cambria"/>
        </w:rPr>
        <w:t xml:space="preserve">; </w:t>
      </w:r>
      <w:r w:rsidR="008F1F36" w:rsidRPr="00EA0EA9">
        <w:rPr>
          <w:rFonts w:ascii="Cambria" w:hAnsi="Cambria"/>
        </w:rPr>
        <w:t xml:space="preserve">prevalence of </w:t>
      </w:r>
      <w:r w:rsidR="0020001F" w:rsidRPr="00EA0EA9">
        <w:rPr>
          <w:rFonts w:ascii="Cambria" w:hAnsi="Cambria"/>
        </w:rPr>
        <w:t>untrained teachers, dilapidated infrastructure, lack of motivation of teachers, high text book to pupil ratios</w:t>
      </w:r>
      <w:r w:rsidR="008F1F36" w:rsidRPr="00EA0EA9">
        <w:rPr>
          <w:rFonts w:ascii="Cambria" w:hAnsi="Cambria"/>
        </w:rPr>
        <w:t>, the social burden of care, economic hardships, poor governance of schools, general socio-economic and political climate in the country, hyper-commercialization, brain drain from the education sector, education policy, education governance ,</w:t>
      </w:r>
      <w:r w:rsidR="0020001F" w:rsidRPr="00EA0EA9">
        <w:rPr>
          <w:rFonts w:ascii="Cambria" w:hAnsi="Cambria"/>
        </w:rPr>
        <w:t xml:space="preserve"> and unaffordable school fees.</w:t>
      </w:r>
    </w:p>
    <w:p w14:paraId="3AF4857C" w14:textId="77777777" w:rsidR="0020001F" w:rsidRPr="00EA0EA9" w:rsidRDefault="00C0691E" w:rsidP="00AA4AD1">
      <w:pPr>
        <w:pStyle w:val="Heading2"/>
        <w:numPr>
          <w:ilvl w:val="1"/>
          <w:numId w:val="75"/>
        </w:numPr>
        <w:spacing w:before="120" w:after="240"/>
        <w:ind w:left="1077"/>
        <w:jc w:val="both"/>
        <w:rPr>
          <w:i/>
          <w:color w:val="CC0000"/>
          <w:sz w:val="28"/>
        </w:rPr>
      </w:pPr>
      <w:bookmarkStart w:id="25" w:name="_Toc476983585"/>
      <w:r w:rsidRPr="00EA0EA9">
        <w:rPr>
          <w:i/>
          <w:color w:val="CC0000"/>
          <w:sz w:val="28"/>
        </w:rPr>
        <w:lastRenderedPageBreak/>
        <w:t>Social Protection or Child Poverty</w:t>
      </w:r>
      <w:bookmarkEnd w:id="25"/>
    </w:p>
    <w:p w14:paraId="51B1B372" w14:textId="6F6C49DF" w:rsidR="0020001F" w:rsidRPr="00EA0EA9" w:rsidRDefault="0020001F" w:rsidP="00BF00A9">
      <w:pPr>
        <w:spacing w:after="240" w:line="276" w:lineRule="auto"/>
        <w:jc w:val="both"/>
        <w:rPr>
          <w:rFonts w:ascii="Cambria" w:hAnsi="Cambria"/>
        </w:rPr>
      </w:pPr>
      <w:r w:rsidRPr="00EA0EA9">
        <w:rPr>
          <w:rFonts w:ascii="Cambria" w:hAnsi="Cambria"/>
        </w:rPr>
        <w:t xml:space="preserve">According to the Ministry of Gender Equality and Child Welfare of Namibia, there is little data available on the economic exploitation of children, although it is a problem which is known to be particularly acute on farms, where employment relationships often involve entire families – with fathers performing farm </w:t>
      </w:r>
      <w:r w:rsidR="00FD6E49" w:rsidRPr="00EA0EA9">
        <w:rPr>
          <w:rFonts w:ascii="Cambria" w:hAnsi="Cambria"/>
        </w:rPr>
        <w:t>labour</w:t>
      </w:r>
      <w:r w:rsidRPr="00EA0EA9">
        <w:rPr>
          <w:rFonts w:ascii="Cambria" w:hAnsi="Cambria"/>
        </w:rPr>
        <w:t>, mothers performing domestic work, and children often being expected to “help out” without extra compensation. Although it is now illegal for employers to demand the labo</w:t>
      </w:r>
      <w:r w:rsidR="00FD6E49" w:rsidRPr="00EA0EA9">
        <w:rPr>
          <w:rFonts w:ascii="Cambria" w:hAnsi="Cambria"/>
        </w:rPr>
        <w:t>u</w:t>
      </w:r>
      <w:r w:rsidRPr="00EA0EA9">
        <w:rPr>
          <w:rFonts w:ascii="Cambria" w:hAnsi="Cambria"/>
        </w:rPr>
        <w:t>r of their employee’s children, enforcement of this rule on isolated farms will be difficult if not impossible.</w:t>
      </w:r>
      <w:r w:rsidR="001E64B2">
        <w:rPr>
          <w:rFonts w:ascii="Cambria" w:hAnsi="Cambria"/>
        </w:rPr>
        <w:t xml:space="preserve"> </w:t>
      </w:r>
      <w:r w:rsidRPr="00EA0EA9">
        <w:rPr>
          <w:rFonts w:ascii="Cambria" w:hAnsi="Cambria"/>
        </w:rPr>
        <w:t>In South Afri</w:t>
      </w:r>
      <w:r w:rsidR="00FD6E49" w:rsidRPr="00EA0EA9">
        <w:rPr>
          <w:rFonts w:ascii="Cambria" w:hAnsi="Cambria"/>
        </w:rPr>
        <w:t>ca, 68%</w:t>
      </w:r>
      <w:r w:rsidRPr="00EA0EA9">
        <w:rPr>
          <w:rFonts w:ascii="Cambria" w:hAnsi="Cambria"/>
        </w:rPr>
        <w:t xml:space="preserve"> of the children live in poverty. In Mozambique, child poverty is a pervasive and </w:t>
      </w:r>
      <w:proofErr w:type="gramStart"/>
      <w:r w:rsidRPr="00EA0EA9">
        <w:rPr>
          <w:rFonts w:ascii="Cambria" w:hAnsi="Cambria"/>
        </w:rPr>
        <w:t>deep rooted</w:t>
      </w:r>
      <w:proofErr w:type="gramEnd"/>
      <w:r w:rsidRPr="00EA0EA9">
        <w:rPr>
          <w:rFonts w:ascii="Cambria" w:hAnsi="Cambria"/>
        </w:rPr>
        <w:t xml:space="preserve"> problem, with about 58</w:t>
      </w:r>
      <w:r w:rsidR="001E7279" w:rsidRPr="00EA0EA9">
        <w:rPr>
          <w:rFonts w:ascii="Cambria" w:hAnsi="Cambria"/>
        </w:rPr>
        <w:t>%</w:t>
      </w:r>
      <w:r w:rsidRPr="00EA0EA9">
        <w:rPr>
          <w:rFonts w:ascii="Cambria" w:hAnsi="Cambria"/>
        </w:rPr>
        <w:t xml:space="preserve"> of children living below the poverty line. In Zimbabwe, anecdotal information suggests that child poverty is rife. There is however no source of information on the scope and extent of the poverty. While in the same </w:t>
      </w:r>
      <w:proofErr w:type="gramStart"/>
      <w:r w:rsidRPr="00EA0EA9">
        <w:rPr>
          <w:rFonts w:ascii="Cambria" w:hAnsi="Cambria"/>
        </w:rPr>
        <w:t>breathe</w:t>
      </w:r>
      <w:proofErr w:type="gramEnd"/>
      <w:r w:rsidRPr="00EA0EA9">
        <w:rPr>
          <w:rFonts w:ascii="Cambria" w:hAnsi="Cambria"/>
        </w:rPr>
        <w:t>, the social protection safety nets have not been able to cater for all the children needing care. This caused by the fact that the system is not resourced to do such.</w:t>
      </w:r>
    </w:p>
    <w:p w14:paraId="293E0E9B" w14:textId="77777777" w:rsidR="0020001F" w:rsidRPr="00EA0EA9" w:rsidRDefault="00C0691E" w:rsidP="00AA4AD1">
      <w:pPr>
        <w:pStyle w:val="Heading2"/>
        <w:numPr>
          <w:ilvl w:val="1"/>
          <w:numId w:val="75"/>
        </w:numPr>
        <w:spacing w:after="240"/>
        <w:jc w:val="both"/>
        <w:rPr>
          <w:i/>
          <w:color w:val="CC0000"/>
          <w:sz w:val="28"/>
        </w:rPr>
      </w:pPr>
      <w:bookmarkStart w:id="26" w:name="_Toc476983586"/>
      <w:r w:rsidRPr="00EA0EA9">
        <w:rPr>
          <w:i/>
          <w:color w:val="CC0000"/>
          <w:sz w:val="28"/>
        </w:rPr>
        <w:t>Need for Child Friendly Budgets</w:t>
      </w:r>
      <w:bookmarkEnd w:id="26"/>
    </w:p>
    <w:p w14:paraId="4CC32341" w14:textId="19F5C10B" w:rsidR="0020001F" w:rsidRPr="00EA0EA9" w:rsidRDefault="0020001F" w:rsidP="00B051F6">
      <w:pPr>
        <w:spacing w:after="240" w:line="276" w:lineRule="auto"/>
        <w:jc w:val="both"/>
        <w:rPr>
          <w:rFonts w:ascii="Cambria" w:hAnsi="Cambria"/>
        </w:rPr>
      </w:pPr>
      <w:r w:rsidRPr="00EA0EA9">
        <w:rPr>
          <w:rFonts w:ascii="Cambria" w:hAnsi="Cambria"/>
        </w:rPr>
        <w:t xml:space="preserve">A major challenge in Africa is for the governments to significantly increase their level of investment in children. </w:t>
      </w:r>
      <w:r w:rsidRPr="00EA0EA9">
        <w:rPr>
          <w:rFonts w:ascii="Cambria" w:hAnsi="Cambria"/>
          <w:b/>
          <w:i/>
        </w:rPr>
        <w:t>Namibia has therefore acknowledged that investing in early childhood development is widely acknowledged to be the best investment in huma</w:t>
      </w:r>
      <w:r w:rsidR="003E46E5" w:rsidRPr="00EA0EA9">
        <w:rPr>
          <w:rFonts w:ascii="Cambria" w:hAnsi="Cambria"/>
          <w:b/>
          <w:i/>
        </w:rPr>
        <w:t>n capital for economic growth.</w:t>
      </w:r>
      <w:r w:rsidRPr="00EA0EA9">
        <w:rPr>
          <w:rFonts w:ascii="Cambria" w:hAnsi="Cambria"/>
        </w:rPr>
        <w:t xml:space="preserve"> In</w:t>
      </w:r>
      <w:r w:rsidR="00062F1D">
        <w:rPr>
          <w:rFonts w:ascii="Cambria" w:hAnsi="Cambria"/>
        </w:rPr>
        <w:t xml:space="preserve"> </w:t>
      </w:r>
      <w:r w:rsidRPr="00EA0EA9">
        <w:rPr>
          <w:rFonts w:ascii="Cambria" w:hAnsi="Cambria"/>
        </w:rPr>
        <w:t xml:space="preserve">Mozambique, </w:t>
      </w:r>
      <w:r w:rsidR="001B51A4" w:rsidRPr="00EA0EA9">
        <w:rPr>
          <w:rFonts w:ascii="Cambria" w:hAnsi="Cambria"/>
        </w:rPr>
        <w:t xml:space="preserve">United Nations </w:t>
      </w:r>
      <w:r w:rsidR="00443D0E" w:rsidRPr="00EA0EA9">
        <w:rPr>
          <w:rFonts w:ascii="Cambria" w:hAnsi="Cambria"/>
        </w:rPr>
        <w:t xml:space="preserve">International </w:t>
      </w:r>
      <w:r w:rsidR="00C81377" w:rsidRPr="00EA0EA9">
        <w:rPr>
          <w:rFonts w:ascii="Cambria" w:hAnsi="Cambria"/>
        </w:rPr>
        <w:t>Children’s</w:t>
      </w:r>
      <w:r w:rsidR="001B51A4" w:rsidRPr="00EA0EA9">
        <w:rPr>
          <w:rFonts w:ascii="Cambria" w:hAnsi="Cambria"/>
        </w:rPr>
        <w:t xml:space="preserve"> Fund (</w:t>
      </w:r>
      <w:r w:rsidRPr="00EA0EA9">
        <w:rPr>
          <w:rFonts w:ascii="Cambria" w:hAnsi="Cambria"/>
        </w:rPr>
        <w:t>UNICEF</w:t>
      </w:r>
      <w:r w:rsidR="001B51A4" w:rsidRPr="00EA0EA9">
        <w:rPr>
          <w:rFonts w:ascii="Cambria" w:hAnsi="Cambria"/>
        </w:rPr>
        <w:t>)</w:t>
      </w:r>
      <w:r w:rsidRPr="00EA0EA9">
        <w:rPr>
          <w:rFonts w:ascii="Cambria" w:hAnsi="Cambria"/>
        </w:rPr>
        <w:t xml:space="preserve"> is assisting in the expansion of a social protection programme which provides cash transfers and in-kind material support to the most vulnerable households. Over the past two years, the number of direct beneficiaries has increased from 90,000 to 120,000. The governments </w:t>
      </w:r>
      <w:r w:rsidR="00C81377" w:rsidRPr="00EA0EA9">
        <w:rPr>
          <w:rFonts w:ascii="Cambria" w:hAnsi="Cambria"/>
        </w:rPr>
        <w:t xml:space="preserve">in SADC </w:t>
      </w:r>
      <w:r w:rsidRPr="00EA0EA9">
        <w:rPr>
          <w:rFonts w:ascii="Cambria" w:hAnsi="Cambria"/>
        </w:rPr>
        <w:t>have not been prioritising resource allocation to alleviating child poverty. In Zimbabwe, the public assistance program has failed to capture all needy persons due to the low budget allocation for public assistance. There is need for advocacy with governments to ensure that they adhere to the Dakar Declaration which stipulates that 20% of the national budget should be allocated to education while the Abuja Declaration notes that 15% of the same goes to health.</w:t>
      </w:r>
    </w:p>
    <w:p w14:paraId="752C515F" w14:textId="77777777" w:rsidR="0020001F" w:rsidRPr="00EA0EA9" w:rsidRDefault="00C0691E" w:rsidP="00AA4AD1">
      <w:pPr>
        <w:pStyle w:val="Heading2"/>
        <w:numPr>
          <w:ilvl w:val="1"/>
          <w:numId w:val="75"/>
        </w:numPr>
        <w:spacing w:after="240"/>
        <w:jc w:val="both"/>
        <w:rPr>
          <w:i/>
          <w:color w:val="CC0000"/>
        </w:rPr>
      </w:pPr>
      <w:bookmarkStart w:id="27" w:name="_Toc476983587"/>
      <w:r w:rsidRPr="00EA0EA9">
        <w:rPr>
          <w:i/>
          <w:color w:val="CC0000"/>
          <w:sz w:val="28"/>
        </w:rPr>
        <w:t>Access to Affordable Health Care Liked With HIV/AIDS</w:t>
      </w:r>
      <w:bookmarkEnd w:id="27"/>
    </w:p>
    <w:p w14:paraId="403AA4C5" w14:textId="77777777" w:rsidR="00A46D0B" w:rsidRPr="00EA0EA9" w:rsidRDefault="0020001F" w:rsidP="00A040CD">
      <w:pPr>
        <w:spacing w:after="240" w:line="276" w:lineRule="auto"/>
        <w:jc w:val="both"/>
        <w:rPr>
          <w:rFonts w:ascii="Cambria" w:hAnsi="Cambria"/>
        </w:rPr>
      </w:pPr>
      <w:r w:rsidRPr="00EA0EA9">
        <w:rPr>
          <w:rFonts w:ascii="Cambria" w:hAnsi="Cambria"/>
        </w:rPr>
        <w:t>In countries like Namibia, Zambia and Zimbabwe, the HIV prevalence rate is around 10-15%</w:t>
      </w:r>
      <w:r w:rsidR="004A32FA" w:rsidRPr="00EA0EA9">
        <w:rPr>
          <w:rFonts w:ascii="Cambria" w:hAnsi="Cambria"/>
        </w:rPr>
        <w:t xml:space="preserve"> and i</w:t>
      </w:r>
      <w:r w:rsidRPr="00EA0EA9">
        <w:rPr>
          <w:rFonts w:ascii="Cambria" w:hAnsi="Cambria"/>
        </w:rPr>
        <w:t>n South Africa the HIV prevalence is 17.8%. Zimbabwe has a higher number of orphans, in proportion to its population, than any other country in the world, according to UNICEF. As many as 1 in 4 children in Zimbabwe are orphaned as a result of parents dying from A</w:t>
      </w:r>
      <w:r w:rsidR="00A46D0B" w:rsidRPr="00EA0EA9">
        <w:rPr>
          <w:rFonts w:ascii="Cambria" w:hAnsi="Cambria"/>
        </w:rPr>
        <w:t>cquired Immune Deficiency Syndrome (A</w:t>
      </w:r>
      <w:r w:rsidRPr="00EA0EA9">
        <w:rPr>
          <w:rFonts w:ascii="Cambria" w:hAnsi="Cambria"/>
        </w:rPr>
        <w:t>IDS</w:t>
      </w:r>
      <w:r w:rsidR="00A46D0B" w:rsidRPr="00EA0EA9">
        <w:rPr>
          <w:rFonts w:ascii="Cambria" w:hAnsi="Cambria"/>
        </w:rPr>
        <w:t>)</w:t>
      </w:r>
      <w:r w:rsidRPr="00EA0EA9">
        <w:rPr>
          <w:rFonts w:ascii="Cambria" w:hAnsi="Cambria"/>
        </w:rPr>
        <w:t>. It is estimated that 22% of the Namibian population lives with HIV. The disease has been the leadi</w:t>
      </w:r>
      <w:r w:rsidR="00BD1F85" w:rsidRPr="00EA0EA9">
        <w:rPr>
          <w:rFonts w:ascii="Cambria" w:hAnsi="Cambria"/>
        </w:rPr>
        <w:t xml:space="preserve">ng cause of deaths since 1996. </w:t>
      </w:r>
      <w:r w:rsidRPr="00EA0EA9">
        <w:rPr>
          <w:rFonts w:ascii="Cambria" w:hAnsi="Cambria"/>
        </w:rPr>
        <w:t xml:space="preserve"> According to the Ministry of Gender Equality and Child Welfa</w:t>
      </w:r>
      <w:r w:rsidR="00A46D0B" w:rsidRPr="00EA0EA9">
        <w:rPr>
          <w:rFonts w:ascii="Cambria" w:hAnsi="Cambria"/>
        </w:rPr>
        <w:t xml:space="preserve">re, there are approximately 114,000 </w:t>
      </w:r>
      <w:r w:rsidRPr="00EA0EA9">
        <w:rPr>
          <w:rFonts w:ascii="Cambria" w:hAnsi="Cambria"/>
        </w:rPr>
        <w:t>children in Namibia defined as orphans, of whic</w:t>
      </w:r>
      <w:r w:rsidR="008F1ECD" w:rsidRPr="00EA0EA9">
        <w:rPr>
          <w:rFonts w:ascii="Cambria" w:hAnsi="Cambria"/>
        </w:rPr>
        <w:t xml:space="preserve">h 77,000 </w:t>
      </w:r>
      <w:r w:rsidRPr="00EA0EA9">
        <w:rPr>
          <w:rFonts w:ascii="Cambria" w:hAnsi="Cambria"/>
        </w:rPr>
        <w:t>are orphaned by AIDS.</w:t>
      </w:r>
    </w:p>
    <w:p w14:paraId="24CFEBC4" w14:textId="1AA353F6" w:rsidR="0020001F" w:rsidRPr="00EA0EA9" w:rsidRDefault="0020001F" w:rsidP="00A040CD">
      <w:pPr>
        <w:spacing w:after="240" w:line="276" w:lineRule="auto"/>
        <w:jc w:val="both"/>
        <w:rPr>
          <w:rFonts w:ascii="Cambria" w:hAnsi="Cambria"/>
        </w:rPr>
      </w:pPr>
      <w:r w:rsidRPr="00EA0EA9">
        <w:rPr>
          <w:rFonts w:ascii="Cambria" w:hAnsi="Cambria"/>
        </w:rPr>
        <w:lastRenderedPageBreak/>
        <w:t>Child-headed households, school drop-out, prostitution and sex at a young age are some of the consequences of AIDS on children. Namibia adopted the Millennium Development Goals</w:t>
      </w:r>
      <w:r w:rsidR="00874B9F" w:rsidRPr="00EA0EA9">
        <w:rPr>
          <w:rFonts w:ascii="Cambria" w:hAnsi="Cambria"/>
        </w:rPr>
        <w:t xml:space="preserve"> (MDGs)</w:t>
      </w:r>
      <w:r w:rsidRPr="00EA0EA9">
        <w:rPr>
          <w:rFonts w:ascii="Cambria" w:hAnsi="Cambria"/>
        </w:rPr>
        <w:t xml:space="preserve"> in 2000 at the UN Millennium Summit. Of most importance to HIV/AIDS </w:t>
      </w:r>
      <w:r w:rsidR="00EA2F33" w:rsidRPr="00EA0EA9">
        <w:rPr>
          <w:rFonts w:ascii="Cambria" w:hAnsi="Cambria"/>
        </w:rPr>
        <w:t>was</w:t>
      </w:r>
      <w:r w:rsidRPr="00EA0EA9">
        <w:rPr>
          <w:rFonts w:ascii="Cambria" w:hAnsi="Cambria"/>
        </w:rPr>
        <w:t xml:space="preserve"> MDG 6, with its target of halting and beginnin</w:t>
      </w:r>
      <w:r w:rsidR="004361DD" w:rsidRPr="00EA0EA9">
        <w:rPr>
          <w:rFonts w:ascii="Cambria" w:hAnsi="Cambria"/>
        </w:rPr>
        <w:t>g to reverse the spread of HIV/</w:t>
      </w:r>
      <w:r w:rsidRPr="00EA0EA9">
        <w:rPr>
          <w:rFonts w:ascii="Cambria" w:hAnsi="Cambria"/>
        </w:rPr>
        <w:t>AIDS by 2015 and combating malaria and other diseases. In South Africa, 5.2 million people were living with HIV in 2009 and an estimated 413,000 new infections; South Africa is the hardest hit country by HI</w:t>
      </w:r>
      <w:r w:rsidR="004361DD" w:rsidRPr="00EA0EA9">
        <w:rPr>
          <w:rFonts w:ascii="Cambria" w:hAnsi="Cambria"/>
        </w:rPr>
        <w:t>V/</w:t>
      </w:r>
      <w:r w:rsidR="00BD1F85" w:rsidRPr="00EA0EA9">
        <w:rPr>
          <w:rFonts w:ascii="Cambria" w:hAnsi="Cambria"/>
        </w:rPr>
        <w:t>AIDS in absolute numbers</w:t>
      </w:r>
      <w:r w:rsidRPr="00EA0EA9">
        <w:rPr>
          <w:rFonts w:ascii="Cambria" w:hAnsi="Cambria"/>
        </w:rPr>
        <w:t xml:space="preserve">. AIDS is the leading cause of maternal death accounting for 23 percent of </w:t>
      </w:r>
      <w:r w:rsidR="00BD1F85" w:rsidRPr="00EA0EA9">
        <w:rPr>
          <w:rFonts w:ascii="Cambria" w:hAnsi="Cambria"/>
        </w:rPr>
        <w:t>all deaths.</w:t>
      </w:r>
      <w:r w:rsidR="00F14F28">
        <w:rPr>
          <w:rFonts w:ascii="Cambria" w:hAnsi="Cambria"/>
        </w:rPr>
        <w:t xml:space="preserve"> </w:t>
      </w:r>
      <w:r w:rsidR="004361DD" w:rsidRPr="00EA0EA9">
        <w:rPr>
          <w:rFonts w:ascii="Cambria" w:hAnsi="Cambria"/>
        </w:rPr>
        <w:t>I</w:t>
      </w:r>
      <w:r w:rsidRPr="00EA0EA9">
        <w:rPr>
          <w:rFonts w:ascii="Cambria" w:hAnsi="Cambria"/>
        </w:rPr>
        <w:t xml:space="preserve">n Zambia, there are as many as one and a half million orphaned children. </w:t>
      </w:r>
      <w:r w:rsidR="00722D7C" w:rsidRPr="00EA0EA9">
        <w:rPr>
          <w:rFonts w:ascii="Cambria" w:hAnsi="Cambria"/>
        </w:rPr>
        <w:t>The Joint United Nations Programme on HIV/AIDS (</w:t>
      </w:r>
      <w:r w:rsidRPr="00EA0EA9">
        <w:rPr>
          <w:rFonts w:ascii="Cambria" w:hAnsi="Cambria"/>
        </w:rPr>
        <w:t>UNAIDS</w:t>
      </w:r>
      <w:r w:rsidR="00722D7C" w:rsidRPr="00EA0EA9">
        <w:rPr>
          <w:rFonts w:ascii="Cambria" w:hAnsi="Cambria"/>
        </w:rPr>
        <w:t>)</w:t>
      </w:r>
      <w:r w:rsidRPr="00EA0EA9">
        <w:rPr>
          <w:rFonts w:ascii="Cambria" w:hAnsi="Cambria"/>
        </w:rPr>
        <w:t xml:space="preserve"> estimates 1.1 million Zambians are living with HIV/AIDS; the prevalence rate for the </w:t>
      </w:r>
      <w:r w:rsidR="005F37CC" w:rsidRPr="00EA0EA9">
        <w:rPr>
          <w:rFonts w:ascii="Cambria" w:hAnsi="Cambria"/>
        </w:rPr>
        <w:t xml:space="preserve">15 to </w:t>
      </w:r>
      <w:proofErr w:type="gramStart"/>
      <w:r w:rsidR="005F37CC" w:rsidRPr="00EA0EA9">
        <w:rPr>
          <w:rFonts w:ascii="Cambria" w:hAnsi="Cambria"/>
        </w:rPr>
        <w:t>49 year</w:t>
      </w:r>
      <w:proofErr w:type="gramEnd"/>
      <w:r w:rsidR="005F37CC" w:rsidRPr="00EA0EA9">
        <w:rPr>
          <w:rFonts w:ascii="Cambria" w:hAnsi="Cambria"/>
        </w:rPr>
        <w:t xml:space="preserve"> age group is 15.2%</w:t>
      </w:r>
      <w:r w:rsidRPr="00EA0EA9">
        <w:rPr>
          <w:rFonts w:ascii="Cambria" w:hAnsi="Cambria"/>
        </w:rPr>
        <w:t>. Mozambique has an estimated 1.2 million orphaned children, of which 350,000 have lost their parents to AIDS. Children living in child-headed households are in a particularly precarious situation.</w:t>
      </w:r>
    </w:p>
    <w:p w14:paraId="57947BA5" w14:textId="148E79D2" w:rsidR="0020001F" w:rsidRPr="00D131D9" w:rsidRDefault="00D131D9" w:rsidP="00D131D9">
      <w:pPr>
        <w:pStyle w:val="Caption"/>
        <w:rPr>
          <w:rFonts w:asciiTheme="majorHAnsi" w:hAnsiTheme="majorHAnsi"/>
          <w:color w:val="auto"/>
          <w:sz w:val="32"/>
          <w:szCs w:val="24"/>
        </w:rPr>
      </w:pPr>
      <w:bookmarkStart w:id="28" w:name="_Toc476984141"/>
      <w:r w:rsidRPr="00D131D9">
        <w:rPr>
          <w:rFonts w:asciiTheme="majorHAnsi" w:hAnsiTheme="majorHAnsi"/>
          <w:color w:val="auto"/>
          <w:sz w:val="22"/>
        </w:rPr>
        <w:t xml:space="preserve">Table </w:t>
      </w:r>
      <w:r w:rsidRPr="00D131D9">
        <w:rPr>
          <w:rFonts w:asciiTheme="majorHAnsi" w:hAnsiTheme="majorHAnsi"/>
          <w:color w:val="auto"/>
          <w:sz w:val="22"/>
        </w:rPr>
        <w:fldChar w:fldCharType="begin"/>
      </w:r>
      <w:r w:rsidRPr="00D131D9">
        <w:rPr>
          <w:rFonts w:asciiTheme="majorHAnsi" w:hAnsiTheme="majorHAnsi"/>
          <w:color w:val="auto"/>
          <w:sz w:val="22"/>
        </w:rPr>
        <w:instrText xml:space="preserve"> SEQ Table \* ARABIC </w:instrText>
      </w:r>
      <w:r w:rsidRPr="00D131D9">
        <w:rPr>
          <w:rFonts w:asciiTheme="majorHAnsi" w:hAnsiTheme="majorHAnsi"/>
          <w:color w:val="auto"/>
          <w:sz w:val="22"/>
        </w:rPr>
        <w:fldChar w:fldCharType="separate"/>
      </w:r>
      <w:r w:rsidR="00533681">
        <w:rPr>
          <w:rFonts w:asciiTheme="majorHAnsi" w:hAnsiTheme="majorHAnsi"/>
          <w:noProof/>
          <w:color w:val="auto"/>
          <w:sz w:val="22"/>
        </w:rPr>
        <w:t>2</w:t>
      </w:r>
      <w:r w:rsidRPr="00D131D9">
        <w:rPr>
          <w:rFonts w:asciiTheme="majorHAnsi" w:hAnsiTheme="majorHAnsi"/>
          <w:color w:val="auto"/>
          <w:sz w:val="22"/>
        </w:rPr>
        <w:fldChar w:fldCharType="end"/>
      </w:r>
      <w:r w:rsidRPr="00D131D9">
        <w:rPr>
          <w:rFonts w:asciiTheme="majorHAnsi" w:hAnsiTheme="majorHAnsi"/>
          <w:color w:val="auto"/>
          <w:sz w:val="22"/>
        </w:rPr>
        <w:t>: Issues Peculiar to Countries</w:t>
      </w:r>
      <w:bookmarkEnd w:id="28"/>
    </w:p>
    <w:tbl>
      <w:tblPr>
        <w:tblStyle w:val="TableGrid"/>
        <w:tblW w:w="0" w:type="auto"/>
        <w:shd w:val="clear" w:color="auto" w:fill="FABF8F" w:themeFill="accent6" w:themeFillTint="99"/>
        <w:tblLook w:val="04A0" w:firstRow="1" w:lastRow="0" w:firstColumn="1" w:lastColumn="0" w:noHBand="0" w:noVBand="1"/>
      </w:tblPr>
      <w:tblGrid>
        <w:gridCol w:w="1798"/>
        <w:gridCol w:w="7212"/>
      </w:tblGrid>
      <w:tr w:rsidR="00A040CD" w:rsidRPr="00EA0EA9" w14:paraId="15F30F1F" w14:textId="77777777" w:rsidTr="00052F3B">
        <w:tc>
          <w:tcPr>
            <w:tcW w:w="1809" w:type="dxa"/>
            <w:shd w:val="clear" w:color="auto" w:fill="FABF8F" w:themeFill="accent6" w:themeFillTint="99"/>
          </w:tcPr>
          <w:p w14:paraId="765840AE" w14:textId="77777777" w:rsidR="00A040CD" w:rsidRPr="00EA0EA9" w:rsidRDefault="00A040CD" w:rsidP="00CB3390">
            <w:pPr>
              <w:jc w:val="both"/>
              <w:rPr>
                <w:rFonts w:ascii="Cambria" w:hAnsi="Cambria"/>
                <w:b/>
              </w:rPr>
            </w:pPr>
            <w:r w:rsidRPr="00EA0EA9">
              <w:rPr>
                <w:rFonts w:ascii="Cambria" w:hAnsi="Cambria"/>
                <w:b/>
              </w:rPr>
              <w:t>Issues</w:t>
            </w:r>
          </w:p>
        </w:tc>
        <w:tc>
          <w:tcPr>
            <w:tcW w:w="7427" w:type="dxa"/>
            <w:shd w:val="clear" w:color="auto" w:fill="FABF8F" w:themeFill="accent6" w:themeFillTint="99"/>
          </w:tcPr>
          <w:p w14:paraId="32B647F3" w14:textId="77777777" w:rsidR="00A040CD" w:rsidRPr="00EA0EA9" w:rsidRDefault="00A040CD" w:rsidP="00CB3390">
            <w:pPr>
              <w:jc w:val="both"/>
              <w:rPr>
                <w:rFonts w:ascii="Cambria" w:hAnsi="Cambria"/>
                <w:b/>
              </w:rPr>
            </w:pPr>
            <w:r w:rsidRPr="00EA0EA9">
              <w:rPr>
                <w:rFonts w:ascii="Cambria" w:hAnsi="Cambria"/>
                <w:b/>
              </w:rPr>
              <w:t>Countries</w:t>
            </w:r>
          </w:p>
        </w:tc>
      </w:tr>
      <w:tr w:rsidR="00A040CD" w:rsidRPr="00EA0EA9" w14:paraId="0575F731" w14:textId="77777777" w:rsidTr="00052F3B">
        <w:tc>
          <w:tcPr>
            <w:tcW w:w="1809" w:type="dxa"/>
            <w:shd w:val="clear" w:color="auto" w:fill="FABF8F" w:themeFill="accent6" w:themeFillTint="99"/>
          </w:tcPr>
          <w:p w14:paraId="2897C392" w14:textId="77777777" w:rsidR="00A040CD" w:rsidRPr="00EA0EA9" w:rsidRDefault="00A040CD" w:rsidP="00CB3390">
            <w:pPr>
              <w:jc w:val="both"/>
              <w:rPr>
                <w:rFonts w:ascii="Cambria" w:hAnsi="Cambria"/>
              </w:rPr>
            </w:pPr>
            <w:r w:rsidRPr="00EA0EA9">
              <w:rPr>
                <w:rFonts w:ascii="Cambria" w:hAnsi="Cambria"/>
              </w:rPr>
              <w:t>Zimbabwe</w:t>
            </w:r>
          </w:p>
        </w:tc>
        <w:tc>
          <w:tcPr>
            <w:tcW w:w="7427" w:type="dxa"/>
            <w:shd w:val="clear" w:color="auto" w:fill="FABF8F" w:themeFill="accent6" w:themeFillTint="99"/>
          </w:tcPr>
          <w:p w14:paraId="6136916D" w14:textId="77777777" w:rsidR="00A040CD" w:rsidRPr="00EA0EA9" w:rsidRDefault="00A040CD" w:rsidP="00CB3390">
            <w:pPr>
              <w:jc w:val="both"/>
              <w:rPr>
                <w:rFonts w:ascii="Cambria" w:hAnsi="Cambria"/>
              </w:rPr>
            </w:pPr>
            <w:r w:rsidRPr="00EA0EA9">
              <w:rPr>
                <w:rFonts w:ascii="Cambria" w:hAnsi="Cambria"/>
              </w:rPr>
              <w:t>It is estimated that in 2009, 45% of children under five in urban areas and 70% in rural areas did not have birth certificates. This means that all these children did not have a legal name, nationality or citizenship rights. This can be attributed to stringent rules that do not permit every child despite origin of parents to have birth certificates.</w:t>
            </w:r>
          </w:p>
        </w:tc>
      </w:tr>
      <w:tr w:rsidR="00A040CD" w:rsidRPr="00EA0EA9" w14:paraId="0F6DE22E" w14:textId="77777777" w:rsidTr="00052F3B">
        <w:tc>
          <w:tcPr>
            <w:tcW w:w="1809" w:type="dxa"/>
            <w:shd w:val="clear" w:color="auto" w:fill="FABF8F" w:themeFill="accent6" w:themeFillTint="99"/>
          </w:tcPr>
          <w:p w14:paraId="1998B831" w14:textId="77777777" w:rsidR="00A040CD" w:rsidRPr="00EA0EA9" w:rsidRDefault="00A040CD" w:rsidP="00CB3390">
            <w:pPr>
              <w:jc w:val="both"/>
              <w:rPr>
                <w:rFonts w:ascii="Cambria" w:hAnsi="Cambria"/>
              </w:rPr>
            </w:pPr>
            <w:r w:rsidRPr="00EA0EA9">
              <w:rPr>
                <w:rFonts w:ascii="Cambria" w:hAnsi="Cambria"/>
              </w:rPr>
              <w:t>Mozambique</w:t>
            </w:r>
          </w:p>
        </w:tc>
        <w:tc>
          <w:tcPr>
            <w:tcW w:w="7427" w:type="dxa"/>
            <w:shd w:val="clear" w:color="auto" w:fill="FABF8F" w:themeFill="accent6" w:themeFillTint="99"/>
          </w:tcPr>
          <w:p w14:paraId="12DEFBC8" w14:textId="77777777" w:rsidR="00A040CD" w:rsidRPr="00EA0EA9" w:rsidRDefault="00A040CD" w:rsidP="00CB3390">
            <w:pPr>
              <w:jc w:val="both"/>
              <w:rPr>
                <w:rFonts w:ascii="Cambria" w:hAnsi="Cambria"/>
              </w:rPr>
            </w:pPr>
            <w:r w:rsidRPr="00EA0EA9">
              <w:rPr>
                <w:rFonts w:ascii="Cambria" w:hAnsi="Cambria"/>
              </w:rPr>
              <w:t>Trafficking children to exploit them as sex-workers and domestic workers in the region is a growing concern. A report by the International Organisation on Migration estimates that approximately one thousand children and women are trafficked from Mozambique to South Africa every year for the purpose of exploitative labour and commercial sexual exploitation. This phenomenon is also growing in Zimbabwe. In Zimbabwe however</w:t>
            </w:r>
            <w:r w:rsidR="00B20D34" w:rsidRPr="00EA0EA9">
              <w:rPr>
                <w:rFonts w:ascii="Cambria" w:hAnsi="Cambria"/>
              </w:rPr>
              <w:t>,</w:t>
            </w:r>
            <w:r w:rsidRPr="00EA0EA9">
              <w:rPr>
                <w:rFonts w:ascii="Cambria" w:hAnsi="Cambria"/>
              </w:rPr>
              <w:t xml:space="preserve"> they are termed unaccompanied children.</w:t>
            </w:r>
          </w:p>
        </w:tc>
      </w:tr>
      <w:tr w:rsidR="00A040CD" w:rsidRPr="00EA0EA9" w14:paraId="61908653" w14:textId="77777777" w:rsidTr="00052F3B">
        <w:tc>
          <w:tcPr>
            <w:tcW w:w="1809" w:type="dxa"/>
            <w:shd w:val="clear" w:color="auto" w:fill="FABF8F" w:themeFill="accent6" w:themeFillTint="99"/>
          </w:tcPr>
          <w:p w14:paraId="058AACDF" w14:textId="77777777" w:rsidR="00A040CD" w:rsidRPr="00D131D9" w:rsidRDefault="00A040CD" w:rsidP="00CB3390">
            <w:pPr>
              <w:jc w:val="both"/>
              <w:rPr>
                <w:rFonts w:ascii="Cambria" w:hAnsi="Cambria"/>
              </w:rPr>
            </w:pPr>
            <w:r w:rsidRPr="00D131D9">
              <w:rPr>
                <w:rFonts w:ascii="Cambria" w:hAnsi="Cambria"/>
              </w:rPr>
              <w:t>Namibia</w:t>
            </w:r>
          </w:p>
        </w:tc>
        <w:tc>
          <w:tcPr>
            <w:tcW w:w="7427" w:type="dxa"/>
            <w:shd w:val="clear" w:color="auto" w:fill="FABF8F" w:themeFill="accent6" w:themeFillTint="99"/>
          </w:tcPr>
          <w:p w14:paraId="3416964B" w14:textId="77777777" w:rsidR="00A040CD" w:rsidRPr="00EA0EA9" w:rsidRDefault="00A040CD" w:rsidP="00CB3390">
            <w:pPr>
              <w:jc w:val="both"/>
              <w:rPr>
                <w:rFonts w:ascii="Cambria" w:hAnsi="Cambria"/>
              </w:rPr>
            </w:pPr>
            <w:r w:rsidRPr="00EA0EA9">
              <w:rPr>
                <w:rFonts w:ascii="Cambria" w:hAnsi="Cambria"/>
              </w:rPr>
              <w:t xml:space="preserve">The government of Namibia ratified The International Labour </w:t>
            </w:r>
            <w:proofErr w:type="gramStart"/>
            <w:r w:rsidRPr="00EA0EA9">
              <w:rPr>
                <w:rFonts w:ascii="Cambria" w:hAnsi="Cambria"/>
              </w:rPr>
              <w:t>Organisation(</w:t>
            </w:r>
            <w:proofErr w:type="gramEnd"/>
            <w:r w:rsidRPr="00EA0EA9">
              <w:rPr>
                <w:rFonts w:ascii="Cambria" w:hAnsi="Cambria"/>
              </w:rPr>
              <w:t xml:space="preserve">ILO) Worst Forms of Child Labour Convention in 2000. The Convention requires ratifying governments to take measures to </w:t>
            </w:r>
            <w:proofErr w:type="gramStart"/>
            <w:r w:rsidRPr="00EA0EA9">
              <w:rPr>
                <w:rFonts w:ascii="Cambria" w:hAnsi="Cambria"/>
              </w:rPr>
              <w:t>effect</w:t>
            </w:r>
            <w:proofErr w:type="gramEnd"/>
            <w:r w:rsidRPr="00EA0EA9">
              <w:rPr>
                <w:rFonts w:ascii="Cambria" w:hAnsi="Cambria"/>
              </w:rPr>
              <w:t xml:space="preserve"> the immediate abolition of the ‘worst forms of child labour’.  The worst forms of child labour include slavery, child prostitution, using a child for illegal activities, and work which by its nature or the circumstances is likely to harm the health, safety or morals of children. Namibia ratified the ILO Convention in 2000.While South Africa is the richest nation in sub-Saharan Africa and should have led the way in ARV distribution, its government was slow to act, and so far, only 37% of those in need of treatment in South Africa are receiving it. There is need to improve access to treatment of children living with HIV.</w:t>
            </w:r>
          </w:p>
        </w:tc>
      </w:tr>
    </w:tbl>
    <w:p w14:paraId="007DF825" w14:textId="77777777" w:rsidR="00BA4D16" w:rsidRPr="00EA0EA9" w:rsidRDefault="00BA4D16" w:rsidP="00AA4AD1">
      <w:pPr>
        <w:pStyle w:val="Heading1"/>
        <w:numPr>
          <w:ilvl w:val="0"/>
          <w:numId w:val="75"/>
        </w:numPr>
        <w:rPr>
          <w:rFonts w:eastAsia="Times New Roman"/>
          <w:color w:val="0000FF"/>
          <w:sz w:val="32"/>
          <w:lang w:eastAsia="en-GB"/>
        </w:rPr>
      </w:pPr>
      <w:bookmarkStart w:id="29" w:name="_Toc476983588"/>
      <w:r w:rsidRPr="00EA0EA9">
        <w:rPr>
          <w:rFonts w:eastAsia="Times New Roman"/>
          <w:color w:val="0000FF"/>
          <w:sz w:val="32"/>
          <w:lang w:eastAsia="en-GB"/>
        </w:rPr>
        <w:lastRenderedPageBreak/>
        <w:t>CSO Enabling Environment</w:t>
      </w:r>
      <w:bookmarkEnd w:id="29"/>
    </w:p>
    <w:p w14:paraId="7BA55CAF" w14:textId="548CCF3E" w:rsidR="00514D6B" w:rsidRPr="00EA0EA9" w:rsidRDefault="00514D6B" w:rsidP="00572134">
      <w:pPr>
        <w:shd w:val="clear" w:color="auto" w:fill="FFFFFF"/>
        <w:spacing w:before="100" w:beforeAutospacing="1" w:after="100" w:afterAutospacing="1" w:line="276" w:lineRule="auto"/>
        <w:jc w:val="both"/>
        <w:rPr>
          <w:rFonts w:asciiTheme="majorHAnsi" w:eastAsia="Times New Roman" w:hAnsiTheme="majorHAnsi" w:cs="Arial"/>
          <w:szCs w:val="20"/>
          <w:lang w:eastAsia="en-GB"/>
        </w:rPr>
      </w:pPr>
      <w:r w:rsidRPr="00EA0EA9">
        <w:rPr>
          <w:rFonts w:asciiTheme="majorHAnsi" w:eastAsia="Times New Roman" w:hAnsiTheme="majorHAnsi" w:cs="Arial"/>
          <w:szCs w:val="20"/>
          <w:lang w:eastAsia="en-GB"/>
        </w:rPr>
        <w:t>“People’s practices of collective action have existed throughout history; political, socio-cultural, and socio-economic changes over the last decades, however, have provided a uniquely fertile ground for the emergence of new forms of civic engagement on an unprecedented scale” (Heirich,2007:</w:t>
      </w:r>
      <w:r w:rsidR="00230CFC" w:rsidRPr="00EA0EA9">
        <w:rPr>
          <w:rFonts w:asciiTheme="majorHAnsi" w:eastAsia="Times New Roman" w:hAnsiTheme="majorHAnsi" w:cs="Arial"/>
          <w:szCs w:val="20"/>
          <w:lang w:eastAsia="en-GB"/>
        </w:rPr>
        <w:t xml:space="preserve"> xxi). Civil society, </w:t>
      </w:r>
      <w:r w:rsidRPr="00EA0EA9">
        <w:rPr>
          <w:rFonts w:asciiTheme="majorHAnsi" w:eastAsia="Times New Roman" w:hAnsiTheme="majorHAnsi" w:cs="Arial"/>
          <w:szCs w:val="20"/>
          <w:lang w:eastAsia="en-GB"/>
        </w:rPr>
        <w:t>howsoever</w:t>
      </w:r>
      <w:r w:rsidR="00230CFC" w:rsidRPr="00EA0EA9">
        <w:rPr>
          <w:rFonts w:asciiTheme="majorHAnsi" w:eastAsia="Times New Roman" w:hAnsiTheme="majorHAnsi" w:cs="Arial"/>
          <w:szCs w:val="20"/>
          <w:lang w:eastAsia="en-GB"/>
        </w:rPr>
        <w:t>,</w:t>
      </w:r>
      <w:r w:rsidRPr="00EA0EA9">
        <w:rPr>
          <w:rFonts w:asciiTheme="majorHAnsi" w:eastAsia="Times New Roman" w:hAnsiTheme="majorHAnsi" w:cs="Arial"/>
          <w:szCs w:val="20"/>
          <w:lang w:eastAsia="en-GB"/>
        </w:rPr>
        <w:t xml:space="preserve"> interpreted-is tainted by historical, ideological and cultural baggage, as well as particular Euro-American conceptions of development and progress. Development as a concept is itself severely contested as it is implicated in notions of civility and enlightenment. Within social theory the concern is as much about and with cultures of civil society as it is about the culture of civil society. In the history of South Africa</w:t>
      </w:r>
      <w:r w:rsidR="00230CFC" w:rsidRPr="00EA0EA9">
        <w:rPr>
          <w:rFonts w:asciiTheme="majorHAnsi" w:eastAsia="Times New Roman" w:hAnsiTheme="majorHAnsi" w:cs="Arial"/>
          <w:szCs w:val="20"/>
          <w:lang w:eastAsia="en-GB"/>
        </w:rPr>
        <w:t>, the idea of ‘c</w:t>
      </w:r>
      <w:r w:rsidRPr="00EA0EA9">
        <w:rPr>
          <w:rFonts w:asciiTheme="majorHAnsi" w:eastAsia="Times New Roman" w:hAnsiTheme="majorHAnsi" w:cs="Arial"/>
          <w:szCs w:val="20"/>
          <w:lang w:eastAsia="en-GB"/>
        </w:rPr>
        <w:t>ivil society</w:t>
      </w:r>
      <w:r w:rsidR="00230CFC" w:rsidRPr="00EA0EA9">
        <w:rPr>
          <w:rFonts w:asciiTheme="majorHAnsi" w:eastAsia="Times New Roman" w:hAnsiTheme="majorHAnsi" w:cs="Arial"/>
          <w:szCs w:val="20"/>
          <w:lang w:eastAsia="en-GB"/>
        </w:rPr>
        <w:t>’</w:t>
      </w:r>
      <w:r w:rsidRPr="00EA0EA9">
        <w:rPr>
          <w:rFonts w:asciiTheme="majorHAnsi" w:eastAsia="Times New Roman" w:hAnsiTheme="majorHAnsi" w:cs="Arial"/>
          <w:szCs w:val="20"/>
          <w:lang w:eastAsia="en-GB"/>
        </w:rPr>
        <w:t xml:space="preserve"> has historically been associated with the concept of ‘people power’ and ‘citizenship’. It refers to various forms of organizations with very different characteristics and dynamics. Notions of civil society are often loaded with ideological assumptions and disputes arising out of the history of concept and i</w:t>
      </w:r>
      <w:r w:rsidR="000D51C5" w:rsidRPr="00EA0EA9">
        <w:rPr>
          <w:rFonts w:asciiTheme="majorHAnsi" w:eastAsia="Times New Roman" w:hAnsiTheme="majorHAnsi" w:cs="Arial"/>
          <w:szCs w:val="20"/>
          <w:lang w:eastAsia="en-GB"/>
        </w:rPr>
        <w:t>ts multiple elements. As such, ‘</w:t>
      </w:r>
      <w:r w:rsidRPr="00EA0EA9">
        <w:rPr>
          <w:rFonts w:asciiTheme="majorHAnsi" w:eastAsia="Times New Roman" w:hAnsiTheme="majorHAnsi" w:cs="Arial"/>
          <w:szCs w:val="20"/>
          <w:lang w:eastAsia="en-GB"/>
        </w:rPr>
        <w:t>civil society</w:t>
      </w:r>
      <w:r w:rsidR="000D51C5" w:rsidRPr="00EA0EA9">
        <w:rPr>
          <w:rFonts w:asciiTheme="majorHAnsi" w:eastAsia="Times New Roman" w:hAnsiTheme="majorHAnsi" w:cs="Arial"/>
          <w:szCs w:val="20"/>
          <w:lang w:eastAsia="en-GB"/>
        </w:rPr>
        <w:t>’</w:t>
      </w:r>
      <w:r w:rsidRPr="00EA0EA9">
        <w:rPr>
          <w:rFonts w:asciiTheme="majorHAnsi" w:eastAsia="Times New Roman" w:hAnsiTheme="majorHAnsi" w:cs="Arial"/>
          <w:szCs w:val="20"/>
          <w:lang w:eastAsia="en-GB"/>
        </w:rPr>
        <w:t xml:space="preserve"> is a </w:t>
      </w:r>
      <w:r w:rsidR="0061648C" w:rsidRPr="00EA0EA9">
        <w:rPr>
          <w:rFonts w:asciiTheme="majorHAnsi" w:eastAsia="Times New Roman" w:hAnsiTheme="majorHAnsi" w:cs="Arial"/>
          <w:szCs w:val="20"/>
          <w:lang w:eastAsia="en-GB"/>
        </w:rPr>
        <w:t>highly-contested</w:t>
      </w:r>
      <w:r w:rsidRPr="00EA0EA9">
        <w:rPr>
          <w:rFonts w:asciiTheme="majorHAnsi" w:eastAsia="Times New Roman" w:hAnsiTheme="majorHAnsi" w:cs="Arial"/>
          <w:szCs w:val="20"/>
          <w:lang w:eastAsia="en-GB"/>
        </w:rPr>
        <w:t xml:space="preserve"> concept. </w:t>
      </w:r>
    </w:p>
    <w:p w14:paraId="11E19D17" w14:textId="77777777" w:rsidR="00514D6B" w:rsidRPr="00EA0EA9" w:rsidRDefault="00514D6B" w:rsidP="00572134">
      <w:pPr>
        <w:shd w:val="clear" w:color="auto" w:fill="FFFFFF"/>
        <w:spacing w:before="100" w:beforeAutospacing="1" w:after="100" w:afterAutospacing="1" w:line="276" w:lineRule="auto"/>
        <w:jc w:val="both"/>
        <w:rPr>
          <w:rFonts w:asciiTheme="majorHAnsi" w:eastAsia="Times New Roman" w:hAnsiTheme="majorHAnsi" w:cs="Arial"/>
          <w:szCs w:val="20"/>
          <w:lang w:eastAsia="en-GB"/>
        </w:rPr>
      </w:pPr>
      <w:r w:rsidRPr="00EA0EA9">
        <w:rPr>
          <w:rFonts w:asciiTheme="majorHAnsi" w:eastAsia="Times New Roman" w:hAnsiTheme="majorHAnsi" w:cs="Arial"/>
          <w:szCs w:val="20"/>
          <w:lang w:eastAsia="en-GB"/>
        </w:rPr>
        <w:t>The Swilling and Russell study (2002) used the term NPO and suggested five criteria that could be used to define an NPO. NPOs should be organized, private(non-governmental), self-governing, non-profit distributing, and voluntary. This earlier definition excluded the aspects of public interest and non-institutionalized forms of civil society.  The NDA defined civil society as follows:</w:t>
      </w:r>
    </w:p>
    <w:p w14:paraId="17542F95" w14:textId="77777777" w:rsidR="00514D6B" w:rsidRPr="00EA0EA9" w:rsidRDefault="00514D6B" w:rsidP="00572134">
      <w:pPr>
        <w:shd w:val="clear" w:color="auto" w:fill="FFFFFF"/>
        <w:spacing w:before="100" w:beforeAutospacing="1" w:after="100" w:afterAutospacing="1" w:line="276" w:lineRule="auto"/>
        <w:jc w:val="both"/>
        <w:rPr>
          <w:rFonts w:asciiTheme="majorHAnsi" w:eastAsia="Times New Roman" w:hAnsiTheme="majorHAnsi" w:cs="Arial"/>
          <w:i/>
          <w:szCs w:val="20"/>
          <w:lang w:eastAsia="en-GB"/>
        </w:rPr>
      </w:pPr>
      <w:r w:rsidRPr="00EA0EA9">
        <w:rPr>
          <w:rFonts w:asciiTheme="majorHAnsi" w:eastAsia="Times New Roman" w:hAnsiTheme="majorHAnsi" w:cs="Arial"/>
          <w:i/>
          <w:szCs w:val="20"/>
          <w:lang w:eastAsia="en-GB"/>
        </w:rPr>
        <w:t xml:space="preserve"> “Civil society is the sphere of organizations and/or associations of organizations located between the confines of the family, the State and the market, which is bound by a set of shared civic rules, and in which people associate voluntarily to advance common interests”</w:t>
      </w:r>
    </w:p>
    <w:p w14:paraId="13B231C3" w14:textId="77777777" w:rsidR="00514D6B" w:rsidRPr="00EA0EA9" w:rsidRDefault="00514D6B" w:rsidP="00572134">
      <w:pPr>
        <w:shd w:val="clear" w:color="auto" w:fill="FFFFFF"/>
        <w:spacing w:before="100" w:beforeAutospacing="1" w:after="100" w:afterAutospacing="1" w:line="276" w:lineRule="auto"/>
        <w:jc w:val="both"/>
        <w:rPr>
          <w:rFonts w:asciiTheme="majorHAnsi" w:eastAsia="Times New Roman" w:hAnsiTheme="majorHAnsi" w:cs="Arial"/>
          <w:szCs w:val="20"/>
          <w:lang w:eastAsia="en-GB"/>
        </w:rPr>
      </w:pPr>
      <w:r w:rsidRPr="00EA0EA9">
        <w:rPr>
          <w:rFonts w:asciiTheme="majorHAnsi" w:eastAsia="Times New Roman" w:hAnsiTheme="majorHAnsi" w:cs="Arial"/>
          <w:szCs w:val="20"/>
          <w:lang w:eastAsia="en-GB"/>
        </w:rPr>
        <w:t xml:space="preserve">The 2008 NDA Report adopted five criteria for </w:t>
      </w:r>
      <w:proofErr w:type="spellStart"/>
      <w:r w:rsidRPr="00EA0EA9">
        <w:rPr>
          <w:rFonts w:asciiTheme="majorHAnsi" w:eastAsia="Times New Roman" w:hAnsiTheme="majorHAnsi" w:cs="Arial"/>
          <w:szCs w:val="20"/>
          <w:lang w:eastAsia="en-GB"/>
        </w:rPr>
        <w:t>indentifying</w:t>
      </w:r>
      <w:proofErr w:type="spellEnd"/>
      <w:r w:rsidRPr="00EA0EA9">
        <w:rPr>
          <w:rFonts w:asciiTheme="majorHAnsi" w:eastAsia="Times New Roman" w:hAnsiTheme="majorHAnsi" w:cs="Arial"/>
          <w:szCs w:val="20"/>
          <w:lang w:eastAsia="en-GB"/>
        </w:rPr>
        <w:t xml:space="preserve"> NPOs, namely:</w:t>
      </w:r>
    </w:p>
    <w:p w14:paraId="362BB605" w14:textId="77777777" w:rsidR="005946FE" w:rsidRPr="00EA0EA9" w:rsidRDefault="005946FE" w:rsidP="0013095E">
      <w:pPr>
        <w:pStyle w:val="Caption"/>
        <w:spacing w:after="0"/>
        <w:rPr>
          <w:rFonts w:ascii="Cambria" w:eastAsia="Times New Roman" w:hAnsi="Cambria" w:cs="Arial"/>
          <w:color w:val="auto"/>
          <w:sz w:val="24"/>
          <w:szCs w:val="20"/>
          <w:lang w:eastAsia="en-GB"/>
        </w:rPr>
      </w:pPr>
      <w:bookmarkStart w:id="30" w:name="_Toc475147230"/>
      <w:r w:rsidRPr="00EA0EA9">
        <w:rPr>
          <w:rFonts w:ascii="Cambria" w:hAnsi="Cambria"/>
          <w:color w:val="auto"/>
          <w:sz w:val="24"/>
        </w:rPr>
        <w:t xml:space="preserve">Box </w:t>
      </w:r>
      <w:r w:rsidR="009D7BF7" w:rsidRPr="00EA0EA9">
        <w:rPr>
          <w:rFonts w:ascii="Cambria" w:hAnsi="Cambria"/>
          <w:color w:val="auto"/>
          <w:sz w:val="24"/>
        </w:rPr>
        <w:fldChar w:fldCharType="begin"/>
      </w:r>
      <w:r w:rsidRPr="00EA0EA9">
        <w:rPr>
          <w:rFonts w:ascii="Cambria" w:hAnsi="Cambria"/>
          <w:color w:val="auto"/>
          <w:sz w:val="24"/>
        </w:rPr>
        <w:instrText xml:space="preserve"> SEQ Box \* ARABIC </w:instrText>
      </w:r>
      <w:r w:rsidR="009D7BF7" w:rsidRPr="00EA0EA9">
        <w:rPr>
          <w:rFonts w:ascii="Cambria" w:hAnsi="Cambria"/>
          <w:color w:val="auto"/>
          <w:sz w:val="24"/>
        </w:rPr>
        <w:fldChar w:fldCharType="separate"/>
      </w:r>
      <w:r w:rsidR="003512E4" w:rsidRPr="00EA0EA9">
        <w:rPr>
          <w:rFonts w:ascii="Cambria" w:hAnsi="Cambria"/>
          <w:color w:val="auto"/>
          <w:sz w:val="24"/>
        </w:rPr>
        <w:t>1</w:t>
      </w:r>
      <w:r w:rsidR="009D7BF7" w:rsidRPr="00EA0EA9">
        <w:rPr>
          <w:rFonts w:ascii="Cambria" w:hAnsi="Cambria"/>
          <w:color w:val="auto"/>
          <w:sz w:val="24"/>
        </w:rPr>
        <w:fldChar w:fldCharType="end"/>
      </w:r>
      <w:r w:rsidRPr="00EA0EA9">
        <w:rPr>
          <w:rFonts w:ascii="Cambria" w:hAnsi="Cambria"/>
          <w:color w:val="auto"/>
          <w:sz w:val="24"/>
        </w:rPr>
        <w:t xml:space="preserve">: Five criteria for </w:t>
      </w:r>
      <w:proofErr w:type="spellStart"/>
      <w:r w:rsidRPr="00EA0EA9">
        <w:rPr>
          <w:rFonts w:ascii="Cambria" w:hAnsi="Cambria"/>
          <w:color w:val="auto"/>
          <w:sz w:val="24"/>
        </w:rPr>
        <w:t>indentifying</w:t>
      </w:r>
      <w:proofErr w:type="spellEnd"/>
      <w:r w:rsidRPr="00EA0EA9">
        <w:rPr>
          <w:rFonts w:ascii="Cambria" w:hAnsi="Cambria"/>
          <w:color w:val="auto"/>
          <w:sz w:val="24"/>
        </w:rPr>
        <w:t xml:space="preserve"> NPOs</w:t>
      </w:r>
      <w:bookmarkEnd w:id="30"/>
    </w:p>
    <w:p w14:paraId="45F2AFCA" w14:textId="753D8FA3" w:rsidR="005946FE" w:rsidRPr="00EA0EA9" w:rsidRDefault="003C5EFB" w:rsidP="0013095E">
      <w:pPr>
        <w:shd w:val="clear" w:color="auto" w:fill="FFFFFF"/>
        <w:jc w:val="both"/>
        <w:rPr>
          <w:rFonts w:asciiTheme="majorHAnsi" w:eastAsia="Times New Roman" w:hAnsiTheme="majorHAnsi" w:cs="Arial"/>
          <w:szCs w:val="20"/>
          <w:lang w:eastAsia="en-GB"/>
        </w:rPr>
      </w:pPr>
      <w:r>
        <w:rPr>
          <w:rFonts w:asciiTheme="majorHAnsi" w:eastAsia="Times New Roman" w:hAnsiTheme="majorHAnsi" w:cs="Arial"/>
          <w:noProof/>
          <w:szCs w:val="20"/>
          <w:lang w:val="en-US"/>
        </w:rPr>
        <mc:AlternateContent>
          <mc:Choice Requires="wps">
            <w:drawing>
              <wp:inline distT="0" distB="0" distL="0" distR="0" wp14:anchorId="50FA5E9A" wp14:editId="40B83106">
                <wp:extent cx="4737735" cy="1564005"/>
                <wp:effectExtent l="101600" t="101600" r="113665" b="125095"/>
                <wp:docPr id="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7735" cy="1564005"/>
                        </a:xfrm>
                        <a:prstGeom prst="rect">
                          <a:avLst/>
                        </a:prstGeom>
                        <a:solidFill>
                          <a:schemeClr val="accent6">
                            <a:lumMod val="100000"/>
                            <a:lumOff val="0"/>
                          </a:schemeClr>
                        </a:solidFill>
                        <a:ln w="38100">
                          <a:solidFill>
                            <a:schemeClr val="lt1">
                              <a:lumMod val="95000"/>
                              <a:lumOff val="0"/>
                            </a:schemeClr>
                          </a:solidFill>
                          <a:miter lim="800000"/>
                          <a:headEnd/>
                          <a:tailEnd/>
                        </a:ln>
                        <a:effectLst>
                          <a:outerShdw blurRad="63500" dist="29783" dir="3885598" algn="ctr" rotWithShape="0">
                            <a:schemeClr val="accent6">
                              <a:lumMod val="50000"/>
                              <a:lumOff val="0"/>
                              <a:alpha val="50000"/>
                            </a:schemeClr>
                          </a:outerShdw>
                        </a:effectLst>
                      </wps:spPr>
                      <wps:txbx>
                        <w:txbxContent>
                          <w:p w14:paraId="22E2EAD9" w14:textId="77777777" w:rsidR="00070A42" w:rsidRDefault="00070A42" w:rsidP="00352B52">
                            <w:pPr>
                              <w:pStyle w:val="ListParagraph"/>
                              <w:numPr>
                                <w:ilvl w:val="0"/>
                                <w:numId w:val="57"/>
                              </w:numPr>
                              <w:spacing w:before="100" w:beforeAutospacing="1" w:after="100" w:afterAutospacing="1" w:line="276" w:lineRule="auto"/>
                              <w:jc w:val="both"/>
                              <w:rPr>
                                <w:rFonts w:asciiTheme="majorHAnsi" w:eastAsia="Times New Roman" w:hAnsiTheme="majorHAnsi" w:cs="Arial"/>
                                <w:szCs w:val="20"/>
                                <w:lang w:eastAsia="en-GB"/>
                              </w:rPr>
                            </w:pPr>
                            <w:r w:rsidRPr="000D51C5">
                              <w:rPr>
                                <w:rFonts w:asciiTheme="majorHAnsi" w:eastAsia="Times New Roman" w:hAnsiTheme="majorHAnsi" w:cs="Arial"/>
                                <w:szCs w:val="20"/>
                                <w:lang w:eastAsia="en-GB"/>
                              </w:rPr>
                              <w:t>For public benefit</w:t>
                            </w:r>
                            <w:r>
                              <w:rPr>
                                <w:rFonts w:asciiTheme="majorHAnsi" w:eastAsia="Times New Roman" w:hAnsiTheme="majorHAnsi" w:cs="Arial"/>
                                <w:szCs w:val="20"/>
                                <w:lang w:eastAsia="en-GB"/>
                              </w:rPr>
                              <w:t>;</w:t>
                            </w:r>
                          </w:p>
                          <w:p w14:paraId="765856DA" w14:textId="19BCF981" w:rsidR="00070A42" w:rsidRDefault="00070A42" w:rsidP="00352B52">
                            <w:pPr>
                              <w:pStyle w:val="ListParagraph"/>
                              <w:numPr>
                                <w:ilvl w:val="0"/>
                                <w:numId w:val="57"/>
                              </w:numPr>
                              <w:spacing w:before="100" w:beforeAutospacing="1" w:after="100" w:afterAutospacing="1" w:line="276" w:lineRule="auto"/>
                              <w:jc w:val="both"/>
                              <w:rPr>
                                <w:rFonts w:asciiTheme="majorHAnsi" w:eastAsia="Times New Roman" w:hAnsiTheme="majorHAnsi" w:cs="Arial"/>
                                <w:szCs w:val="20"/>
                                <w:lang w:eastAsia="en-GB"/>
                              </w:rPr>
                            </w:pPr>
                            <w:r w:rsidRPr="000D51C5">
                              <w:rPr>
                                <w:rFonts w:asciiTheme="majorHAnsi" w:eastAsia="Times New Roman" w:hAnsiTheme="majorHAnsi" w:cs="Arial"/>
                                <w:szCs w:val="20"/>
                                <w:lang w:eastAsia="en-GB"/>
                              </w:rPr>
                              <w:t>Having a common purpose, usually</w:t>
                            </w:r>
                            <w:r>
                              <w:rPr>
                                <w:rFonts w:asciiTheme="majorHAnsi" w:eastAsia="Times New Roman" w:hAnsiTheme="majorHAnsi" w:cs="Arial"/>
                                <w:szCs w:val="20"/>
                                <w:lang w:eastAsia="en-GB"/>
                              </w:rPr>
                              <w:t xml:space="preserve"> </w:t>
                            </w:r>
                            <w:r w:rsidRPr="000D51C5">
                              <w:rPr>
                                <w:rFonts w:asciiTheme="majorHAnsi" w:eastAsia="Times New Roman" w:hAnsiTheme="majorHAnsi" w:cs="Arial"/>
                                <w:szCs w:val="20"/>
                                <w:lang w:eastAsia="en-GB"/>
                              </w:rPr>
                              <w:t>(but not exclusively) around service delivery, social watch, advocacy, research and education;</w:t>
                            </w:r>
                          </w:p>
                          <w:p w14:paraId="3608E919" w14:textId="069C70C7" w:rsidR="00070A42" w:rsidRDefault="00070A42" w:rsidP="00352B52">
                            <w:pPr>
                              <w:pStyle w:val="ListParagraph"/>
                              <w:numPr>
                                <w:ilvl w:val="0"/>
                                <w:numId w:val="57"/>
                              </w:numPr>
                              <w:spacing w:before="100" w:beforeAutospacing="1" w:after="100" w:afterAutospacing="1" w:line="276" w:lineRule="auto"/>
                              <w:jc w:val="both"/>
                              <w:rPr>
                                <w:rFonts w:asciiTheme="majorHAnsi" w:eastAsia="Times New Roman" w:hAnsiTheme="majorHAnsi" w:cs="Arial"/>
                                <w:szCs w:val="20"/>
                                <w:lang w:eastAsia="en-GB"/>
                              </w:rPr>
                            </w:pPr>
                            <w:r w:rsidRPr="000D51C5">
                              <w:rPr>
                                <w:rFonts w:asciiTheme="majorHAnsi" w:eastAsia="Times New Roman" w:hAnsiTheme="majorHAnsi" w:cs="Arial"/>
                                <w:szCs w:val="20"/>
                                <w:lang w:eastAsia="en-GB"/>
                              </w:rPr>
                              <w:t>Private</w:t>
                            </w:r>
                            <w:r>
                              <w:rPr>
                                <w:rFonts w:asciiTheme="majorHAnsi" w:eastAsia="Times New Roman" w:hAnsiTheme="majorHAnsi" w:cs="Arial"/>
                                <w:szCs w:val="20"/>
                                <w:lang w:eastAsia="en-GB"/>
                              </w:rPr>
                              <w:t xml:space="preserve"> </w:t>
                            </w:r>
                            <w:r w:rsidRPr="000D51C5">
                              <w:rPr>
                                <w:rFonts w:asciiTheme="majorHAnsi" w:eastAsia="Times New Roman" w:hAnsiTheme="majorHAnsi" w:cs="Arial"/>
                                <w:szCs w:val="20"/>
                                <w:lang w:eastAsia="en-GB"/>
                              </w:rPr>
                              <w:t>(occupying the space outside the State or market);</w:t>
                            </w:r>
                          </w:p>
                          <w:p w14:paraId="0EE34052" w14:textId="77777777" w:rsidR="00070A42" w:rsidRDefault="00070A42" w:rsidP="00352B52">
                            <w:pPr>
                              <w:pStyle w:val="ListParagraph"/>
                              <w:numPr>
                                <w:ilvl w:val="0"/>
                                <w:numId w:val="57"/>
                              </w:numPr>
                              <w:spacing w:before="100" w:beforeAutospacing="1" w:after="100" w:afterAutospacing="1" w:line="276" w:lineRule="auto"/>
                              <w:jc w:val="both"/>
                              <w:rPr>
                                <w:rFonts w:asciiTheme="majorHAnsi" w:eastAsia="Times New Roman" w:hAnsiTheme="majorHAnsi" w:cs="Arial"/>
                                <w:szCs w:val="20"/>
                                <w:lang w:eastAsia="en-GB"/>
                              </w:rPr>
                            </w:pPr>
                            <w:r w:rsidRPr="000D51C5">
                              <w:rPr>
                                <w:rFonts w:asciiTheme="majorHAnsi" w:eastAsia="Times New Roman" w:hAnsiTheme="majorHAnsi" w:cs="Arial"/>
                                <w:szCs w:val="20"/>
                                <w:lang w:eastAsia="en-GB"/>
                              </w:rPr>
                              <w:t>Self-governing; and</w:t>
                            </w:r>
                          </w:p>
                          <w:p w14:paraId="3F275445" w14:textId="77777777" w:rsidR="00070A42" w:rsidRPr="000D51C5" w:rsidRDefault="00070A42" w:rsidP="00352B52">
                            <w:pPr>
                              <w:pStyle w:val="ListParagraph"/>
                              <w:numPr>
                                <w:ilvl w:val="0"/>
                                <w:numId w:val="57"/>
                              </w:numPr>
                              <w:spacing w:before="100" w:beforeAutospacing="1" w:after="100" w:afterAutospacing="1" w:line="276" w:lineRule="auto"/>
                              <w:jc w:val="both"/>
                              <w:rPr>
                                <w:rFonts w:asciiTheme="majorHAnsi" w:eastAsia="Times New Roman" w:hAnsiTheme="majorHAnsi" w:cs="Arial"/>
                                <w:szCs w:val="20"/>
                                <w:lang w:eastAsia="en-GB"/>
                              </w:rPr>
                            </w:pPr>
                            <w:r w:rsidRPr="000D51C5">
                              <w:rPr>
                                <w:rFonts w:asciiTheme="majorHAnsi" w:eastAsia="Times New Roman" w:hAnsiTheme="majorHAnsi" w:cs="Arial"/>
                                <w:szCs w:val="20"/>
                                <w:lang w:eastAsia="en-GB"/>
                              </w:rPr>
                              <w:t xml:space="preserve">Does not distribute profit </w:t>
                            </w:r>
                          </w:p>
                          <w:p w14:paraId="62D8A3AC" w14:textId="77777777" w:rsidR="00070A42" w:rsidRDefault="00070A42" w:rsidP="005946FE"/>
                        </w:txbxContent>
                      </wps:txbx>
                      <wps:bodyPr rot="0" vert="horz" wrap="square" lIns="91440" tIns="45720" rIns="91440" bIns="45720" anchor="t" anchorCtr="0" upright="1">
                        <a:noAutofit/>
                      </wps:bodyPr>
                    </wps:wsp>
                  </a:graphicData>
                </a:graphic>
              </wp:inline>
            </w:drawing>
          </mc:Choice>
          <mc:Fallback>
            <w:pict>
              <v:shapetype w14:anchorId="50FA5E9A" id="_x0000_t202" coordsize="21600,21600" o:spt="202" path="m,l,21600r21600,l21600,xe">
                <v:stroke joinstyle="miter"/>
                <v:path gradientshapeok="t" o:connecttype="rect"/>
              </v:shapetype>
              <v:shape id="Text Box 37" o:spid="_x0000_s1026" type="#_x0000_t202" style="width:373.05pt;height:1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" fillcolor="#f79646 [3209]" strokecolor="#f2f2f2 [3041]" strokeweight="3pt">
                <v:shadow on="t" color="#974706 [1609]" opacity=".5" offset="1pt,.74833mm"/>
                <v:textbox>
                  <w:txbxContent>
                    <w:p w14:paraId="22E2EAD9" w14:textId="77777777" w:rsidR="00070A42" w:rsidRDefault="00070A42" w:rsidP="00352B52">
                      <w:pPr>
                        <w:pStyle w:val="ListParagraph"/>
                        <w:numPr>
                          <w:ilvl w:val="0"/>
                          <w:numId w:val="57"/>
                        </w:numPr>
                        <w:spacing w:before="100" w:beforeAutospacing="1" w:after="100" w:afterAutospacing="1" w:line="276" w:lineRule="auto"/>
                        <w:jc w:val="both"/>
                        <w:rPr>
                          <w:rFonts w:asciiTheme="majorHAnsi" w:eastAsia="Times New Roman" w:hAnsiTheme="majorHAnsi" w:cs="Arial"/>
                          <w:szCs w:val="20"/>
                          <w:lang w:eastAsia="en-GB"/>
                        </w:rPr>
                      </w:pPr>
                      <w:r w:rsidRPr="000D51C5">
                        <w:rPr>
                          <w:rFonts w:asciiTheme="majorHAnsi" w:eastAsia="Times New Roman" w:hAnsiTheme="majorHAnsi" w:cs="Arial"/>
                          <w:szCs w:val="20"/>
                          <w:lang w:eastAsia="en-GB"/>
                        </w:rPr>
                        <w:t>For public benefit</w:t>
                      </w:r>
                      <w:r>
                        <w:rPr>
                          <w:rFonts w:asciiTheme="majorHAnsi" w:eastAsia="Times New Roman" w:hAnsiTheme="majorHAnsi" w:cs="Arial"/>
                          <w:szCs w:val="20"/>
                          <w:lang w:eastAsia="en-GB"/>
                        </w:rPr>
                        <w:t>;</w:t>
                      </w:r>
                    </w:p>
                    <w:p w14:paraId="765856DA" w14:textId="19BCF981" w:rsidR="00070A42" w:rsidRDefault="00070A42" w:rsidP="00352B52">
                      <w:pPr>
                        <w:pStyle w:val="ListParagraph"/>
                        <w:numPr>
                          <w:ilvl w:val="0"/>
                          <w:numId w:val="57"/>
                        </w:numPr>
                        <w:spacing w:before="100" w:beforeAutospacing="1" w:after="100" w:afterAutospacing="1" w:line="276" w:lineRule="auto"/>
                        <w:jc w:val="both"/>
                        <w:rPr>
                          <w:rFonts w:asciiTheme="majorHAnsi" w:eastAsia="Times New Roman" w:hAnsiTheme="majorHAnsi" w:cs="Arial"/>
                          <w:szCs w:val="20"/>
                          <w:lang w:eastAsia="en-GB"/>
                        </w:rPr>
                      </w:pPr>
                      <w:r w:rsidRPr="000D51C5">
                        <w:rPr>
                          <w:rFonts w:asciiTheme="majorHAnsi" w:eastAsia="Times New Roman" w:hAnsiTheme="majorHAnsi" w:cs="Arial"/>
                          <w:szCs w:val="20"/>
                          <w:lang w:eastAsia="en-GB"/>
                        </w:rPr>
                        <w:t>Having a common purpose, usually</w:t>
                      </w:r>
                      <w:r>
                        <w:rPr>
                          <w:rFonts w:asciiTheme="majorHAnsi" w:eastAsia="Times New Roman" w:hAnsiTheme="majorHAnsi" w:cs="Arial"/>
                          <w:szCs w:val="20"/>
                          <w:lang w:eastAsia="en-GB"/>
                        </w:rPr>
                        <w:t xml:space="preserve"> </w:t>
                      </w:r>
                      <w:r w:rsidRPr="000D51C5">
                        <w:rPr>
                          <w:rFonts w:asciiTheme="majorHAnsi" w:eastAsia="Times New Roman" w:hAnsiTheme="majorHAnsi" w:cs="Arial"/>
                          <w:szCs w:val="20"/>
                          <w:lang w:eastAsia="en-GB"/>
                        </w:rPr>
                        <w:t>(but not exclusively) around service delivery, social watch, advocacy, research and education;</w:t>
                      </w:r>
                    </w:p>
                    <w:p w14:paraId="3608E919" w14:textId="069C70C7" w:rsidR="00070A42" w:rsidRDefault="00070A42" w:rsidP="00352B52">
                      <w:pPr>
                        <w:pStyle w:val="ListParagraph"/>
                        <w:numPr>
                          <w:ilvl w:val="0"/>
                          <w:numId w:val="57"/>
                        </w:numPr>
                        <w:spacing w:before="100" w:beforeAutospacing="1" w:after="100" w:afterAutospacing="1" w:line="276" w:lineRule="auto"/>
                        <w:jc w:val="both"/>
                        <w:rPr>
                          <w:rFonts w:asciiTheme="majorHAnsi" w:eastAsia="Times New Roman" w:hAnsiTheme="majorHAnsi" w:cs="Arial"/>
                          <w:szCs w:val="20"/>
                          <w:lang w:eastAsia="en-GB"/>
                        </w:rPr>
                      </w:pPr>
                      <w:r w:rsidRPr="000D51C5">
                        <w:rPr>
                          <w:rFonts w:asciiTheme="majorHAnsi" w:eastAsia="Times New Roman" w:hAnsiTheme="majorHAnsi" w:cs="Arial"/>
                          <w:szCs w:val="20"/>
                          <w:lang w:eastAsia="en-GB"/>
                        </w:rPr>
                        <w:t>Private</w:t>
                      </w:r>
                      <w:r>
                        <w:rPr>
                          <w:rFonts w:asciiTheme="majorHAnsi" w:eastAsia="Times New Roman" w:hAnsiTheme="majorHAnsi" w:cs="Arial"/>
                          <w:szCs w:val="20"/>
                          <w:lang w:eastAsia="en-GB"/>
                        </w:rPr>
                        <w:t xml:space="preserve"> </w:t>
                      </w:r>
                      <w:r w:rsidRPr="000D51C5">
                        <w:rPr>
                          <w:rFonts w:asciiTheme="majorHAnsi" w:eastAsia="Times New Roman" w:hAnsiTheme="majorHAnsi" w:cs="Arial"/>
                          <w:szCs w:val="20"/>
                          <w:lang w:eastAsia="en-GB"/>
                        </w:rPr>
                        <w:t>(occupying the space outside the State or market);</w:t>
                      </w:r>
                    </w:p>
                    <w:p w14:paraId="0EE34052" w14:textId="77777777" w:rsidR="00070A42" w:rsidRDefault="00070A42" w:rsidP="00352B52">
                      <w:pPr>
                        <w:pStyle w:val="ListParagraph"/>
                        <w:numPr>
                          <w:ilvl w:val="0"/>
                          <w:numId w:val="57"/>
                        </w:numPr>
                        <w:spacing w:before="100" w:beforeAutospacing="1" w:after="100" w:afterAutospacing="1" w:line="276" w:lineRule="auto"/>
                        <w:jc w:val="both"/>
                        <w:rPr>
                          <w:rFonts w:asciiTheme="majorHAnsi" w:eastAsia="Times New Roman" w:hAnsiTheme="majorHAnsi" w:cs="Arial"/>
                          <w:szCs w:val="20"/>
                          <w:lang w:eastAsia="en-GB"/>
                        </w:rPr>
                      </w:pPr>
                      <w:r w:rsidRPr="000D51C5">
                        <w:rPr>
                          <w:rFonts w:asciiTheme="majorHAnsi" w:eastAsia="Times New Roman" w:hAnsiTheme="majorHAnsi" w:cs="Arial"/>
                          <w:szCs w:val="20"/>
                          <w:lang w:eastAsia="en-GB"/>
                        </w:rPr>
                        <w:t>Self-governing; and</w:t>
                      </w:r>
                    </w:p>
                    <w:p w14:paraId="3F275445" w14:textId="77777777" w:rsidR="00070A42" w:rsidRPr="000D51C5" w:rsidRDefault="00070A42" w:rsidP="00352B52">
                      <w:pPr>
                        <w:pStyle w:val="ListParagraph"/>
                        <w:numPr>
                          <w:ilvl w:val="0"/>
                          <w:numId w:val="57"/>
                        </w:numPr>
                        <w:spacing w:before="100" w:beforeAutospacing="1" w:after="100" w:afterAutospacing="1" w:line="276" w:lineRule="auto"/>
                        <w:jc w:val="both"/>
                        <w:rPr>
                          <w:rFonts w:asciiTheme="majorHAnsi" w:eastAsia="Times New Roman" w:hAnsiTheme="majorHAnsi" w:cs="Arial"/>
                          <w:szCs w:val="20"/>
                          <w:lang w:eastAsia="en-GB"/>
                        </w:rPr>
                      </w:pPr>
                      <w:r w:rsidRPr="000D51C5">
                        <w:rPr>
                          <w:rFonts w:asciiTheme="majorHAnsi" w:eastAsia="Times New Roman" w:hAnsiTheme="majorHAnsi" w:cs="Arial"/>
                          <w:szCs w:val="20"/>
                          <w:lang w:eastAsia="en-GB"/>
                        </w:rPr>
                        <w:t xml:space="preserve">Does not distribute profit </w:t>
                      </w:r>
                    </w:p>
                    <w:p w14:paraId="62D8A3AC" w14:textId="77777777" w:rsidR="00070A42" w:rsidRDefault="00070A42" w:rsidP="005946FE"/>
                  </w:txbxContent>
                </v:textbox>
                <w10:anchorlock/>
              </v:shape>
            </w:pict>
          </mc:Fallback>
        </mc:AlternateContent>
      </w:r>
    </w:p>
    <w:p w14:paraId="0A4EA749" w14:textId="77777777" w:rsidR="00514D6B" w:rsidRPr="00EA0EA9" w:rsidRDefault="00514D6B" w:rsidP="00572134">
      <w:pPr>
        <w:shd w:val="clear" w:color="auto" w:fill="FFFFFF"/>
        <w:spacing w:before="100" w:beforeAutospacing="1" w:after="100" w:afterAutospacing="1" w:line="276" w:lineRule="auto"/>
        <w:jc w:val="both"/>
        <w:rPr>
          <w:rFonts w:asciiTheme="majorHAnsi" w:eastAsia="Times New Roman" w:hAnsiTheme="majorHAnsi" w:cs="Arial"/>
          <w:szCs w:val="20"/>
          <w:lang w:eastAsia="en-GB"/>
        </w:rPr>
      </w:pPr>
      <w:r w:rsidRPr="00EA0EA9">
        <w:rPr>
          <w:rFonts w:asciiTheme="majorHAnsi" w:eastAsia="Times New Roman" w:hAnsiTheme="majorHAnsi" w:cs="Arial"/>
          <w:szCs w:val="20"/>
          <w:lang w:eastAsia="en-GB"/>
        </w:rPr>
        <w:t xml:space="preserve">We have for ease of reference adopted a definition that does not purport to resolve the contradictions, but offers clarity regarding the entities </w:t>
      </w:r>
      <w:proofErr w:type="spellStart"/>
      <w:r w:rsidRPr="00EA0EA9">
        <w:rPr>
          <w:rFonts w:asciiTheme="majorHAnsi" w:eastAsia="Times New Roman" w:hAnsiTheme="majorHAnsi" w:cs="Arial"/>
          <w:szCs w:val="20"/>
          <w:lang w:eastAsia="en-GB"/>
        </w:rPr>
        <w:t>analyzed</w:t>
      </w:r>
      <w:proofErr w:type="spellEnd"/>
      <w:r w:rsidRPr="00EA0EA9">
        <w:rPr>
          <w:rFonts w:asciiTheme="majorHAnsi" w:eastAsia="Times New Roman" w:hAnsiTheme="majorHAnsi" w:cs="Arial"/>
          <w:szCs w:val="20"/>
          <w:lang w:eastAsia="en-GB"/>
        </w:rPr>
        <w:t xml:space="preserve"> by this report. The Centre for Civil Society at the London School of Economics and Political </w:t>
      </w:r>
      <w:proofErr w:type="gramStart"/>
      <w:r w:rsidRPr="00EA0EA9">
        <w:rPr>
          <w:rFonts w:asciiTheme="majorHAnsi" w:eastAsia="Times New Roman" w:hAnsiTheme="majorHAnsi" w:cs="Arial"/>
          <w:szCs w:val="20"/>
          <w:lang w:eastAsia="en-GB"/>
        </w:rPr>
        <w:t>Science(</w:t>
      </w:r>
      <w:proofErr w:type="gramEnd"/>
      <w:r w:rsidRPr="00EA0EA9">
        <w:rPr>
          <w:rFonts w:asciiTheme="majorHAnsi" w:eastAsia="Times New Roman" w:hAnsiTheme="majorHAnsi" w:cs="Arial"/>
          <w:szCs w:val="20"/>
          <w:lang w:eastAsia="en-GB"/>
        </w:rPr>
        <w:t>LSE), defines civil society as follows:</w:t>
      </w:r>
    </w:p>
    <w:p w14:paraId="06745944" w14:textId="77777777" w:rsidR="00514D6B" w:rsidRPr="00EA0EA9" w:rsidRDefault="00514D6B" w:rsidP="00572134">
      <w:pPr>
        <w:shd w:val="clear" w:color="auto" w:fill="FFFFFF"/>
        <w:spacing w:before="100" w:beforeAutospacing="1" w:after="100" w:afterAutospacing="1" w:line="276" w:lineRule="auto"/>
        <w:jc w:val="both"/>
        <w:rPr>
          <w:rFonts w:asciiTheme="majorHAnsi" w:eastAsia="Times New Roman" w:hAnsiTheme="majorHAnsi" w:cs="Arial"/>
          <w:b/>
          <w:i/>
          <w:szCs w:val="20"/>
          <w:lang w:eastAsia="en-GB"/>
        </w:rPr>
      </w:pPr>
      <w:r w:rsidRPr="00EA0EA9">
        <w:rPr>
          <w:rFonts w:asciiTheme="majorHAnsi" w:eastAsia="Times New Roman" w:hAnsiTheme="majorHAnsi" w:cs="Arial"/>
          <w:b/>
          <w:i/>
          <w:szCs w:val="20"/>
          <w:lang w:eastAsia="en-GB"/>
        </w:rPr>
        <w:lastRenderedPageBreak/>
        <w:t>“Civil society refers to the arena of uncoerced collective action around shared interests, purposes and values. In theory, its institutional forms are distinct from those of the State, family and market, though in practice, the boundaries between State,</w:t>
      </w:r>
      <w:r w:rsidR="00277685" w:rsidRPr="00EA0EA9">
        <w:rPr>
          <w:rFonts w:asciiTheme="majorHAnsi" w:eastAsia="Times New Roman" w:hAnsiTheme="majorHAnsi" w:cs="Arial"/>
          <w:b/>
          <w:i/>
          <w:szCs w:val="20"/>
          <w:lang w:eastAsia="en-GB"/>
        </w:rPr>
        <w:t xml:space="preserve"> </w:t>
      </w:r>
      <w:r w:rsidRPr="00EA0EA9">
        <w:rPr>
          <w:rFonts w:asciiTheme="majorHAnsi" w:eastAsia="Times New Roman" w:hAnsiTheme="majorHAnsi" w:cs="Arial"/>
          <w:b/>
          <w:i/>
          <w:szCs w:val="20"/>
          <w:lang w:eastAsia="en-GB"/>
        </w:rPr>
        <w:t xml:space="preserve">civil society, family and market are often complex, blurred and negotiated. Civil Society commonly embraces a diversity of spaces, actors and institutional forms, varying in their degree of formality, autonomy and power” </w:t>
      </w:r>
    </w:p>
    <w:p w14:paraId="38912C97" w14:textId="7A5462E7" w:rsidR="00514D6B" w:rsidRPr="00EA0EA9" w:rsidRDefault="00514D6B" w:rsidP="00572134">
      <w:pPr>
        <w:shd w:val="clear" w:color="auto" w:fill="FFFFFF"/>
        <w:spacing w:before="100" w:beforeAutospacing="1" w:after="100" w:afterAutospacing="1" w:line="276" w:lineRule="auto"/>
        <w:jc w:val="both"/>
        <w:rPr>
          <w:rFonts w:asciiTheme="majorHAnsi" w:eastAsia="Times New Roman" w:hAnsiTheme="majorHAnsi" w:cs="Arial"/>
          <w:szCs w:val="20"/>
          <w:lang w:eastAsia="en-GB"/>
        </w:rPr>
      </w:pPr>
      <w:r w:rsidRPr="00EA0EA9">
        <w:rPr>
          <w:rFonts w:asciiTheme="majorHAnsi" w:eastAsia="Times New Roman" w:hAnsiTheme="majorHAnsi" w:cs="Arial"/>
          <w:szCs w:val="20"/>
          <w:lang w:eastAsia="en-GB"/>
        </w:rPr>
        <w:t>As a caveat, it is important to note that civil society goes beyond formalized organizations and in practice includes groups that are not legalized or registered.  It encompasses many associational forms, including</w:t>
      </w:r>
      <w:r w:rsidR="00264213" w:rsidRPr="00EA0EA9">
        <w:rPr>
          <w:rFonts w:asciiTheme="majorHAnsi" w:eastAsia="Times New Roman" w:hAnsiTheme="majorHAnsi" w:cs="Arial"/>
          <w:szCs w:val="20"/>
          <w:lang w:eastAsia="en-GB"/>
        </w:rPr>
        <w:t>: registered philanthropies</w:t>
      </w:r>
      <w:r w:rsidRPr="00EA0EA9">
        <w:rPr>
          <w:rFonts w:asciiTheme="majorHAnsi" w:eastAsia="Times New Roman" w:hAnsiTheme="majorHAnsi" w:cs="Arial"/>
          <w:szCs w:val="20"/>
          <w:lang w:eastAsia="en-GB"/>
        </w:rPr>
        <w:t>, development non-governmental organizations</w:t>
      </w:r>
      <w:r w:rsidR="0074626B" w:rsidRPr="00EA0EA9">
        <w:rPr>
          <w:rFonts w:asciiTheme="majorHAnsi" w:eastAsia="Times New Roman" w:hAnsiTheme="majorHAnsi" w:cs="Arial"/>
          <w:szCs w:val="20"/>
          <w:lang w:eastAsia="en-GB"/>
        </w:rPr>
        <w:t xml:space="preserve"> </w:t>
      </w:r>
      <w:r w:rsidRPr="00EA0EA9">
        <w:rPr>
          <w:rFonts w:asciiTheme="majorHAnsi" w:eastAsia="Times New Roman" w:hAnsiTheme="majorHAnsi" w:cs="Arial"/>
          <w:szCs w:val="20"/>
          <w:lang w:eastAsia="en-GB"/>
        </w:rPr>
        <w:t xml:space="preserve">(NGOs), community groups, women’s organizations, children’s and youth organizations, </w:t>
      </w:r>
      <w:proofErr w:type="gramStart"/>
      <w:r w:rsidRPr="00EA0EA9">
        <w:rPr>
          <w:rFonts w:asciiTheme="majorHAnsi" w:eastAsia="Times New Roman" w:hAnsiTheme="majorHAnsi" w:cs="Arial"/>
          <w:szCs w:val="20"/>
          <w:lang w:eastAsia="en-GB"/>
        </w:rPr>
        <w:t>faith based</w:t>
      </w:r>
      <w:proofErr w:type="gramEnd"/>
      <w:r w:rsidRPr="00EA0EA9">
        <w:rPr>
          <w:rFonts w:asciiTheme="majorHAnsi" w:eastAsia="Times New Roman" w:hAnsiTheme="majorHAnsi" w:cs="Arial"/>
          <w:szCs w:val="20"/>
          <w:lang w:eastAsia="en-GB"/>
        </w:rPr>
        <w:t xml:space="preserve"> organizations, professional associations, trade unions, self-help groups, social movements, business associations, coalitions, networks and advocacy groups.</w:t>
      </w:r>
      <w:r w:rsidR="00073D89" w:rsidRPr="00EA0EA9">
        <w:rPr>
          <w:rFonts w:asciiTheme="majorHAnsi" w:eastAsia="Times New Roman" w:hAnsiTheme="majorHAnsi" w:cs="Arial"/>
          <w:szCs w:val="20"/>
          <w:lang w:eastAsia="en-GB"/>
        </w:rPr>
        <w:t xml:space="preserve"> In South Africa, the term </w:t>
      </w:r>
      <w:r w:rsidRPr="00EA0EA9">
        <w:rPr>
          <w:rFonts w:asciiTheme="majorHAnsi" w:eastAsia="Times New Roman" w:hAnsiTheme="majorHAnsi" w:cs="Arial"/>
          <w:szCs w:val="20"/>
          <w:lang w:eastAsia="en-GB"/>
        </w:rPr>
        <w:t>NPO or ‘civic organization’ is preferred by policy makers.</w:t>
      </w:r>
    </w:p>
    <w:p w14:paraId="3468811C" w14:textId="77777777" w:rsidR="00514D6B" w:rsidRPr="00EA0EA9" w:rsidRDefault="00514D6B" w:rsidP="00572134">
      <w:pPr>
        <w:shd w:val="clear" w:color="auto" w:fill="FFFFFF"/>
        <w:spacing w:before="100" w:beforeAutospacing="1" w:after="100" w:afterAutospacing="1" w:line="276" w:lineRule="auto"/>
        <w:jc w:val="both"/>
        <w:rPr>
          <w:rFonts w:asciiTheme="majorHAnsi" w:eastAsia="Times New Roman" w:hAnsiTheme="majorHAnsi" w:cs="Arial"/>
          <w:szCs w:val="20"/>
          <w:lang w:eastAsia="en-GB"/>
        </w:rPr>
      </w:pPr>
      <w:r w:rsidRPr="00EA0EA9">
        <w:rPr>
          <w:rFonts w:asciiTheme="majorHAnsi" w:eastAsia="Times New Roman" w:hAnsiTheme="majorHAnsi" w:cs="Arial"/>
          <w:szCs w:val="20"/>
          <w:lang w:eastAsia="en-GB"/>
        </w:rPr>
        <w:t>From the definitions above civil society, therefore, possesses the following elements:</w:t>
      </w:r>
    </w:p>
    <w:p w14:paraId="282DEA5D" w14:textId="48DF8733" w:rsidR="00073D89" w:rsidRPr="00EA0EA9" w:rsidRDefault="00514D6B" w:rsidP="00352B52">
      <w:pPr>
        <w:pStyle w:val="ListParagraph"/>
        <w:numPr>
          <w:ilvl w:val="0"/>
          <w:numId w:val="58"/>
        </w:numPr>
        <w:shd w:val="clear" w:color="auto" w:fill="FFFFFF"/>
        <w:spacing w:before="100" w:beforeAutospacing="1" w:after="100" w:afterAutospacing="1" w:line="276" w:lineRule="auto"/>
        <w:jc w:val="both"/>
        <w:rPr>
          <w:rFonts w:asciiTheme="majorHAnsi" w:eastAsia="Times New Roman" w:hAnsiTheme="majorHAnsi" w:cs="Arial"/>
          <w:szCs w:val="20"/>
          <w:lang w:eastAsia="en-GB"/>
        </w:rPr>
      </w:pPr>
      <w:r w:rsidRPr="00EA0EA9">
        <w:rPr>
          <w:rFonts w:asciiTheme="majorHAnsi" w:eastAsia="Times New Roman" w:hAnsiTheme="majorHAnsi" w:cs="Arial"/>
          <w:szCs w:val="20"/>
          <w:lang w:eastAsia="en-GB"/>
        </w:rPr>
        <w:t>It is an arena for action,</w:t>
      </w:r>
      <w:r w:rsidR="00880ED9">
        <w:rPr>
          <w:rFonts w:asciiTheme="majorHAnsi" w:eastAsia="Times New Roman" w:hAnsiTheme="majorHAnsi" w:cs="Arial"/>
          <w:szCs w:val="20"/>
          <w:lang w:eastAsia="en-GB"/>
        </w:rPr>
        <w:t xml:space="preserve"> </w:t>
      </w:r>
      <w:r w:rsidRPr="00EA0EA9">
        <w:rPr>
          <w:rFonts w:asciiTheme="majorHAnsi" w:eastAsia="Times New Roman" w:hAnsiTheme="majorHAnsi" w:cs="Arial"/>
          <w:szCs w:val="20"/>
          <w:lang w:eastAsia="en-GB"/>
        </w:rPr>
        <w:t>and such action does not need to be performed by collective actors who conform to specific organizational forms</w:t>
      </w:r>
      <w:r w:rsidR="00880ED9">
        <w:rPr>
          <w:rFonts w:asciiTheme="majorHAnsi" w:eastAsia="Times New Roman" w:hAnsiTheme="majorHAnsi" w:cs="Arial"/>
          <w:szCs w:val="20"/>
          <w:lang w:eastAsia="en-GB"/>
        </w:rPr>
        <w:t xml:space="preserve"> </w:t>
      </w:r>
      <w:r w:rsidRPr="00EA0EA9">
        <w:rPr>
          <w:rFonts w:asciiTheme="majorHAnsi" w:eastAsia="Times New Roman" w:hAnsiTheme="majorHAnsi" w:cs="Arial"/>
          <w:szCs w:val="20"/>
          <w:lang w:eastAsia="en-GB"/>
        </w:rPr>
        <w:t>(e.g. associations, trusts, foundations, NGO,</w:t>
      </w:r>
      <w:r w:rsidR="00880ED9">
        <w:rPr>
          <w:rFonts w:asciiTheme="majorHAnsi" w:eastAsia="Times New Roman" w:hAnsiTheme="majorHAnsi" w:cs="Arial"/>
          <w:szCs w:val="20"/>
          <w:lang w:eastAsia="en-GB"/>
        </w:rPr>
        <w:t xml:space="preserve"> </w:t>
      </w:r>
      <w:r w:rsidRPr="00EA0EA9">
        <w:rPr>
          <w:rFonts w:asciiTheme="majorHAnsi" w:eastAsia="Times New Roman" w:hAnsiTheme="majorHAnsi" w:cs="Arial"/>
          <w:szCs w:val="20"/>
          <w:lang w:eastAsia="en-GB"/>
        </w:rPr>
        <w:t>etc</w:t>
      </w:r>
      <w:r w:rsidR="00073D89" w:rsidRPr="00EA0EA9">
        <w:rPr>
          <w:rFonts w:asciiTheme="majorHAnsi" w:eastAsia="Times New Roman" w:hAnsiTheme="majorHAnsi" w:cs="Arial"/>
          <w:szCs w:val="20"/>
          <w:lang w:eastAsia="en-GB"/>
        </w:rPr>
        <w:t>.</w:t>
      </w:r>
      <w:r w:rsidRPr="00EA0EA9">
        <w:rPr>
          <w:rFonts w:asciiTheme="majorHAnsi" w:eastAsia="Times New Roman" w:hAnsiTheme="majorHAnsi" w:cs="Arial"/>
          <w:szCs w:val="20"/>
          <w:lang w:eastAsia="en-GB"/>
        </w:rPr>
        <w:t xml:space="preserve">), although they often do. Loosely </w:t>
      </w:r>
      <w:r w:rsidR="00073D89" w:rsidRPr="00EA0EA9">
        <w:rPr>
          <w:rFonts w:asciiTheme="majorHAnsi" w:eastAsia="Times New Roman" w:hAnsiTheme="majorHAnsi" w:cs="Arial"/>
          <w:szCs w:val="20"/>
          <w:lang w:eastAsia="en-GB"/>
        </w:rPr>
        <w:t>organized,</w:t>
      </w:r>
      <w:r w:rsidRPr="00EA0EA9">
        <w:rPr>
          <w:rFonts w:asciiTheme="majorHAnsi" w:eastAsia="Times New Roman" w:hAnsiTheme="majorHAnsi" w:cs="Arial"/>
          <w:szCs w:val="20"/>
          <w:lang w:eastAsia="en-GB"/>
        </w:rPr>
        <w:t xml:space="preserve"> non-institutionalized forms like social movements are gaining ascendancy as has been the case with #</w:t>
      </w:r>
      <w:proofErr w:type="spellStart"/>
      <w:r w:rsidRPr="00EA0EA9">
        <w:rPr>
          <w:rFonts w:asciiTheme="majorHAnsi" w:eastAsia="Times New Roman" w:hAnsiTheme="majorHAnsi" w:cs="Arial"/>
          <w:szCs w:val="20"/>
          <w:lang w:eastAsia="en-GB"/>
        </w:rPr>
        <w:t>FeesMustFall</w:t>
      </w:r>
      <w:proofErr w:type="spellEnd"/>
      <w:r w:rsidRPr="00EA0EA9">
        <w:rPr>
          <w:rFonts w:asciiTheme="majorHAnsi" w:eastAsia="Times New Roman" w:hAnsiTheme="majorHAnsi" w:cs="Arial"/>
          <w:szCs w:val="20"/>
          <w:lang w:eastAsia="en-GB"/>
        </w:rPr>
        <w:t xml:space="preserve"> and #</w:t>
      </w:r>
      <w:proofErr w:type="spellStart"/>
      <w:r w:rsidRPr="00EA0EA9">
        <w:rPr>
          <w:rFonts w:asciiTheme="majorHAnsi" w:eastAsia="Times New Roman" w:hAnsiTheme="majorHAnsi" w:cs="Arial"/>
          <w:szCs w:val="20"/>
          <w:lang w:eastAsia="en-GB"/>
        </w:rPr>
        <w:t>RhodesMustFall</w:t>
      </w:r>
      <w:proofErr w:type="spellEnd"/>
      <w:r w:rsidRPr="00EA0EA9">
        <w:rPr>
          <w:rFonts w:asciiTheme="majorHAnsi" w:eastAsia="Times New Roman" w:hAnsiTheme="majorHAnsi" w:cs="Arial"/>
          <w:szCs w:val="20"/>
          <w:lang w:eastAsia="en-GB"/>
        </w:rPr>
        <w:t xml:space="preserve"> movements in South Africa. In essence, civil society is diverse and transcends the more vocal and visible NGOs;</w:t>
      </w:r>
    </w:p>
    <w:p w14:paraId="0484A770" w14:textId="77777777" w:rsidR="00073D89" w:rsidRPr="00EA0EA9" w:rsidRDefault="00514D6B" w:rsidP="00352B52">
      <w:pPr>
        <w:pStyle w:val="ListParagraph"/>
        <w:numPr>
          <w:ilvl w:val="0"/>
          <w:numId w:val="58"/>
        </w:numPr>
        <w:shd w:val="clear" w:color="auto" w:fill="FFFFFF"/>
        <w:spacing w:before="100" w:beforeAutospacing="1" w:after="100" w:afterAutospacing="1" w:line="276" w:lineRule="auto"/>
        <w:jc w:val="both"/>
        <w:rPr>
          <w:rFonts w:asciiTheme="majorHAnsi" w:eastAsia="Times New Roman" w:hAnsiTheme="majorHAnsi" w:cs="Arial"/>
          <w:szCs w:val="20"/>
          <w:lang w:eastAsia="en-GB"/>
        </w:rPr>
      </w:pPr>
      <w:r w:rsidRPr="00EA0EA9">
        <w:rPr>
          <w:rFonts w:asciiTheme="majorHAnsi" w:eastAsia="Times New Roman" w:hAnsiTheme="majorHAnsi" w:cs="Arial"/>
          <w:szCs w:val="20"/>
          <w:lang w:eastAsia="en-GB"/>
        </w:rPr>
        <w:t>Civil society actors perform their actions collectively, and individuals are free to voluntarily join and participate in collective action without prior coercion</w:t>
      </w:r>
    </w:p>
    <w:p w14:paraId="70182942" w14:textId="75EE9757" w:rsidR="00073D89" w:rsidRPr="00EA0EA9" w:rsidRDefault="00514D6B" w:rsidP="00352B52">
      <w:pPr>
        <w:pStyle w:val="ListParagraph"/>
        <w:numPr>
          <w:ilvl w:val="0"/>
          <w:numId w:val="58"/>
        </w:numPr>
        <w:shd w:val="clear" w:color="auto" w:fill="FFFFFF"/>
        <w:spacing w:before="100" w:beforeAutospacing="1" w:after="100" w:afterAutospacing="1" w:line="276" w:lineRule="auto"/>
        <w:jc w:val="both"/>
        <w:rPr>
          <w:rFonts w:asciiTheme="majorHAnsi" w:eastAsia="Times New Roman" w:hAnsiTheme="majorHAnsi" w:cs="Arial"/>
          <w:szCs w:val="20"/>
          <w:lang w:eastAsia="en-GB"/>
        </w:rPr>
      </w:pPr>
      <w:r w:rsidRPr="00EA0EA9">
        <w:rPr>
          <w:rFonts w:asciiTheme="majorHAnsi" w:eastAsia="Times New Roman" w:hAnsiTheme="majorHAnsi" w:cs="Arial"/>
          <w:szCs w:val="20"/>
          <w:lang w:eastAsia="en-GB"/>
        </w:rPr>
        <w:t>Civil society group actions are based on shared interests, purposes and values. This does not at all imply that civil society is homogenous,</w:t>
      </w:r>
      <w:r w:rsidR="00742AF3">
        <w:rPr>
          <w:rFonts w:asciiTheme="majorHAnsi" w:eastAsia="Times New Roman" w:hAnsiTheme="majorHAnsi" w:cs="Arial"/>
          <w:szCs w:val="20"/>
          <w:lang w:eastAsia="en-GB"/>
        </w:rPr>
        <w:t xml:space="preserve"> </w:t>
      </w:r>
      <w:r w:rsidRPr="00EA0EA9">
        <w:rPr>
          <w:rFonts w:asciiTheme="majorHAnsi" w:eastAsia="Times New Roman" w:hAnsiTheme="majorHAnsi" w:cs="Arial"/>
          <w:szCs w:val="20"/>
          <w:lang w:eastAsia="en-GB"/>
        </w:rPr>
        <w:t>in reality it is a plethora of different and even opposed purposeful groups;</w:t>
      </w:r>
    </w:p>
    <w:p w14:paraId="69F3C44E" w14:textId="669D0FC9" w:rsidR="00514D6B" w:rsidRPr="00EA0EA9" w:rsidRDefault="00514D6B" w:rsidP="00352B52">
      <w:pPr>
        <w:pStyle w:val="ListParagraph"/>
        <w:numPr>
          <w:ilvl w:val="0"/>
          <w:numId w:val="58"/>
        </w:numPr>
        <w:shd w:val="clear" w:color="auto" w:fill="FFFFFF"/>
        <w:spacing w:before="100" w:beforeAutospacing="1" w:after="100" w:afterAutospacing="1" w:line="276" w:lineRule="auto"/>
        <w:jc w:val="both"/>
        <w:rPr>
          <w:rFonts w:asciiTheme="majorHAnsi" w:eastAsia="Times New Roman" w:hAnsiTheme="majorHAnsi" w:cs="Arial"/>
          <w:szCs w:val="20"/>
          <w:lang w:eastAsia="en-GB"/>
        </w:rPr>
      </w:pPr>
      <w:r w:rsidRPr="00EA0EA9">
        <w:rPr>
          <w:rFonts w:asciiTheme="majorHAnsi" w:eastAsia="Times New Roman" w:hAnsiTheme="majorHAnsi" w:cs="Arial"/>
          <w:szCs w:val="20"/>
          <w:lang w:eastAsia="en-GB"/>
        </w:rPr>
        <w:t>The idea of separability of societal arenas such as the State, the market, the family and civil society is not always clinically applicable in South African context. In reality</w:t>
      </w:r>
      <w:r w:rsidR="00742AF3">
        <w:rPr>
          <w:rFonts w:asciiTheme="majorHAnsi" w:eastAsia="Times New Roman" w:hAnsiTheme="majorHAnsi" w:cs="Arial"/>
          <w:szCs w:val="20"/>
          <w:lang w:eastAsia="en-GB"/>
        </w:rPr>
        <w:t>,</w:t>
      </w:r>
      <w:r w:rsidRPr="00EA0EA9">
        <w:rPr>
          <w:rFonts w:asciiTheme="majorHAnsi" w:eastAsia="Times New Roman" w:hAnsiTheme="majorHAnsi" w:cs="Arial"/>
          <w:szCs w:val="20"/>
          <w:lang w:eastAsia="en-GB"/>
        </w:rPr>
        <w:t xml:space="preserve"> the different arenas of social action </w:t>
      </w:r>
      <w:r w:rsidR="00073D89" w:rsidRPr="00EA0EA9">
        <w:rPr>
          <w:rFonts w:asciiTheme="majorHAnsi" w:eastAsia="Times New Roman" w:hAnsiTheme="majorHAnsi" w:cs="Arial"/>
          <w:szCs w:val="20"/>
          <w:lang w:eastAsia="en-GB"/>
        </w:rPr>
        <w:t>interact</w:t>
      </w:r>
      <w:r w:rsidRPr="00EA0EA9">
        <w:rPr>
          <w:rFonts w:asciiTheme="majorHAnsi" w:eastAsia="Times New Roman" w:hAnsiTheme="majorHAnsi" w:cs="Arial"/>
          <w:szCs w:val="20"/>
          <w:lang w:eastAsia="en-GB"/>
        </w:rPr>
        <w:t>. Although these four arenas are supposedly autonomous from each other, what is important is the degree of permeability between the different arenas and the risk of dominance of one or some over the rest</w:t>
      </w:r>
    </w:p>
    <w:p w14:paraId="47BEE3F0" w14:textId="77777777" w:rsidR="00514D6B" w:rsidRPr="00EA0EA9" w:rsidRDefault="00514D6B" w:rsidP="00572134">
      <w:pPr>
        <w:shd w:val="clear" w:color="auto" w:fill="FFFFFF"/>
        <w:spacing w:before="100" w:beforeAutospacing="1" w:after="100" w:afterAutospacing="1" w:line="276" w:lineRule="auto"/>
        <w:jc w:val="both"/>
        <w:rPr>
          <w:rFonts w:asciiTheme="majorHAnsi" w:eastAsia="Times New Roman" w:hAnsiTheme="majorHAnsi" w:cs="Arial"/>
          <w:szCs w:val="20"/>
          <w:lang w:eastAsia="en-GB"/>
        </w:rPr>
      </w:pPr>
      <w:r w:rsidRPr="00EA0EA9">
        <w:rPr>
          <w:rFonts w:asciiTheme="majorHAnsi" w:eastAsia="Times New Roman" w:hAnsiTheme="majorHAnsi" w:cs="Arial"/>
          <w:szCs w:val="20"/>
          <w:lang w:eastAsia="en-GB"/>
        </w:rPr>
        <w:t>Civil society organizations have –in many contexts-served as an effective bridge between the State, the Market and the masses of impoverished citizens suffering the ravages of under-development and impoverishment by both internal and external actors. In this regard, a confluence of the following factors defines narratives about the political economy of civil society in South Africa, namely:</w:t>
      </w:r>
    </w:p>
    <w:p w14:paraId="013B54D8" w14:textId="51B83FD2" w:rsidR="00AA6D7C" w:rsidRPr="00EA0EA9" w:rsidRDefault="00514D6B" w:rsidP="00352B52">
      <w:pPr>
        <w:pStyle w:val="ListParagraph"/>
        <w:numPr>
          <w:ilvl w:val="0"/>
          <w:numId w:val="59"/>
        </w:numPr>
        <w:shd w:val="clear" w:color="auto" w:fill="FFFFFF"/>
        <w:spacing w:before="100" w:beforeAutospacing="1" w:after="100" w:afterAutospacing="1" w:line="276" w:lineRule="auto"/>
        <w:jc w:val="both"/>
        <w:rPr>
          <w:rFonts w:asciiTheme="majorHAnsi" w:eastAsia="Times New Roman" w:hAnsiTheme="majorHAnsi" w:cs="Arial"/>
          <w:szCs w:val="20"/>
          <w:lang w:eastAsia="en-GB"/>
        </w:rPr>
      </w:pPr>
      <w:r w:rsidRPr="00EA0EA9">
        <w:rPr>
          <w:rFonts w:asciiTheme="majorHAnsi" w:eastAsia="Times New Roman" w:hAnsiTheme="majorHAnsi" w:cs="Arial"/>
          <w:szCs w:val="20"/>
          <w:lang w:eastAsia="en-GB"/>
        </w:rPr>
        <w:lastRenderedPageBreak/>
        <w:t>Conceptions of imperialism, colonialism (neo-colonialism</w:t>
      </w:r>
      <w:r w:rsidR="00790917" w:rsidRPr="00EA0EA9">
        <w:rPr>
          <w:rFonts w:asciiTheme="majorHAnsi" w:eastAsia="Times New Roman" w:hAnsiTheme="majorHAnsi" w:cs="Arial"/>
          <w:szCs w:val="20"/>
          <w:lang w:eastAsia="en-GB"/>
        </w:rPr>
        <w:t>), apartheid</w:t>
      </w:r>
      <w:r w:rsidRPr="00EA0EA9">
        <w:rPr>
          <w:rFonts w:asciiTheme="majorHAnsi" w:eastAsia="Times New Roman" w:hAnsiTheme="majorHAnsi" w:cs="Arial"/>
          <w:szCs w:val="20"/>
          <w:lang w:eastAsia="en-GB"/>
        </w:rPr>
        <w:t>, globalization and the popular struggles against these forms of domination and powe</w:t>
      </w:r>
      <w:r w:rsidR="00AA6D7C" w:rsidRPr="00EA0EA9">
        <w:rPr>
          <w:rFonts w:asciiTheme="majorHAnsi" w:eastAsia="Times New Roman" w:hAnsiTheme="majorHAnsi" w:cs="Arial"/>
          <w:szCs w:val="20"/>
          <w:lang w:eastAsia="en-GB"/>
        </w:rPr>
        <w:t>r;</w:t>
      </w:r>
    </w:p>
    <w:p w14:paraId="5C329019" w14:textId="77777777" w:rsidR="00AA6D7C" w:rsidRPr="00EA0EA9" w:rsidRDefault="00514D6B" w:rsidP="00352B52">
      <w:pPr>
        <w:pStyle w:val="ListParagraph"/>
        <w:numPr>
          <w:ilvl w:val="0"/>
          <w:numId w:val="59"/>
        </w:numPr>
        <w:shd w:val="clear" w:color="auto" w:fill="FFFFFF"/>
        <w:spacing w:before="100" w:beforeAutospacing="1" w:after="100" w:afterAutospacing="1" w:line="276" w:lineRule="auto"/>
        <w:jc w:val="both"/>
        <w:rPr>
          <w:rFonts w:asciiTheme="majorHAnsi" w:eastAsia="Times New Roman" w:hAnsiTheme="majorHAnsi" w:cs="Arial"/>
          <w:szCs w:val="20"/>
          <w:lang w:eastAsia="en-GB"/>
        </w:rPr>
      </w:pPr>
      <w:r w:rsidRPr="00EA0EA9">
        <w:rPr>
          <w:rFonts w:asciiTheme="majorHAnsi" w:eastAsia="Times New Roman" w:hAnsiTheme="majorHAnsi" w:cs="Arial"/>
          <w:szCs w:val="20"/>
          <w:lang w:eastAsia="en-GB"/>
        </w:rPr>
        <w:t>Experiences of democracy and democratization as well as human ri</w:t>
      </w:r>
      <w:r w:rsidR="00AA6D7C" w:rsidRPr="00EA0EA9">
        <w:rPr>
          <w:rFonts w:asciiTheme="majorHAnsi" w:eastAsia="Times New Roman" w:hAnsiTheme="majorHAnsi" w:cs="Arial"/>
          <w:szCs w:val="20"/>
          <w:lang w:eastAsia="en-GB"/>
        </w:rPr>
        <w:t>ghts in the post-apartheid era;</w:t>
      </w:r>
    </w:p>
    <w:p w14:paraId="1ACF00AD" w14:textId="77777777" w:rsidR="00AA6D7C" w:rsidRPr="00EA0EA9" w:rsidRDefault="00514D6B" w:rsidP="00352B52">
      <w:pPr>
        <w:pStyle w:val="ListParagraph"/>
        <w:numPr>
          <w:ilvl w:val="0"/>
          <w:numId w:val="59"/>
        </w:numPr>
        <w:shd w:val="clear" w:color="auto" w:fill="FFFFFF"/>
        <w:spacing w:before="100" w:beforeAutospacing="1" w:after="100" w:afterAutospacing="1" w:line="276" w:lineRule="auto"/>
        <w:jc w:val="both"/>
        <w:rPr>
          <w:rFonts w:asciiTheme="majorHAnsi" w:eastAsia="Times New Roman" w:hAnsiTheme="majorHAnsi" w:cs="Arial"/>
          <w:szCs w:val="20"/>
          <w:lang w:eastAsia="en-GB"/>
        </w:rPr>
      </w:pPr>
      <w:r w:rsidRPr="00EA0EA9">
        <w:rPr>
          <w:rFonts w:asciiTheme="majorHAnsi" w:eastAsia="Times New Roman" w:hAnsiTheme="majorHAnsi" w:cs="Arial"/>
          <w:szCs w:val="20"/>
          <w:lang w:eastAsia="en-GB"/>
        </w:rPr>
        <w:t>Experiences and conceptions of under-development and development during the age of economic liberalization and economic structural transformation under the RDP and GEAR policies; and</w:t>
      </w:r>
    </w:p>
    <w:p w14:paraId="1259B9E1" w14:textId="77777777" w:rsidR="00AA6D7C" w:rsidRPr="00EA0EA9" w:rsidRDefault="00514D6B" w:rsidP="00352B52">
      <w:pPr>
        <w:pStyle w:val="ListParagraph"/>
        <w:numPr>
          <w:ilvl w:val="0"/>
          <w:numId w:val="59"/>
        </w:numPr>
        <w:shd w:val="clear" w:color="auto" w:fill="FFFFFF"/>
        <w:spacing w:before="100" w:beforeAutospacing="1" w:after="100" w:afterAutospacing="1" w:line="276" w:lineRule="auto"/>
        <w:jc w:val="both"/>
        <w:rPr>
          <w:rFonts w:asciiTheme="majorHAnsi" w:eastAsia="Times New Roman" w:hAnsiTheme="majorHAnsi" w:cs="Arial"/>
          <w:szCs w:val="20"/>
          <w:lang w:eastAsia="en-GB"/>
        </w:rPr>
      </w:pPr>
      <w:r w:rsidRPr="00EA0EA9">
        <w:rPr>
          <w:rFonts w:asciiTheme="majorHAnsi" w:eastAsia="Times New Roman" w:hAnsiTheme="majorHAnsi" w:cs="Arial"/>
          <w:szCs w:val="20"/>
          <w:lang w:eastAsia="en-GB"/>
        </w:rPr>
        <w:t>Conceptions of the internal dimension of sovereignty (as democratization) and the external dimension (as regionalization) in the context of inter-governmental and citizen-driven efforts at regional integration within the SADC region</w:t>
      </w:r>
    </w:p>
    <w:p w14:paraId="173C95BA" w14:textId="69DFB6E4" w:rsidR="00514D6B" w:rsidRPr="00EA0EA9" w:rsidRDefault="00514D6B" w:rsidP="00352B52">
      <w:pPr>
        <w:pStyle w:val="ListParagraph"/>
        <w:numPr>
          <w:ilvl w:val="0"/>
          <w:numId w:val="59"/>
        </w:numPr>
        <w:shd w:val="clear" w:color="auto" w:fill="FFFFFF"/>
        <w:spacing w:before="100" w:beforeAutospacing="1" w:after="100" w:afterAutospacing="1" w:line="276" w:lineRule="auto"/>
        <w:jc w:val="both"/>
        <w:rPr>
          <w:rFonts w:asciiTheme="majorHAnsi" w:eastAsia="Times New Roman" w:hAnsiTheme="majorHAnsi" w:cs="Arial"/>
          <w:szCs w:val="20"/>
          <w:lang w:eastAsia="en-GB"/>
        </w:rPr>
      </w:pPr>
      <w:r w:rsidRPr="00EA0EA9">
        <w:rPr>
          <w:rFonts w:asciiTheme="majorHAnsi" w:eastAsia="Times New Roman" w:hAnsiTheme="majorHAnsi" w:cs="Arial"/>
          <w:szCs w:val="20"/>
          <w:lang w:eastAsia="en-GB"/>
        </w:rPr>
        <w:t>Conceptions of citizenship, solidarity and ‘</w:t>
      </w:r>
      <w:proofErr w:type="spellStart"/>
      <w:r w:rsidRPr="00EA0EA9">
        <w:rPr>
          <w:rFonts w:asciiTheme="majorHAnsi" w:eastAsia="Times New Roman" w:hAnsiTheme="majorHAnsi" w:cs="Arial"/>
          <w:szCs w:val="20"/>
          <w:lang w:eastAsia="en-GB"/>
        </w:rPr>
        <w:t>Africanness</w:t>
      </w:r>
      <w:proofErr w:type="spellEnd"/>
      <w:r w:rsidRPr="00EA0EA9">
        <w:rPr>
          <w:rFonts w:asciiTheme="majorHAnsi" w:eastAsia="Times New Roman" w:hAnsiTheme="majorHAnsi" w:cs="Arial"/>
          <w:szCs w:val="20"/>
          <w:lang w:eastAsia="en-GB"/>
        </w:rPr>
        <w:t>’ in light of an influx of labour migrants and political refugees from neighbouring Southern African countries and the rest of Africa</w:t>
      </w:r>
    </w:p>
    <w:p w14:paraId="0A48C1C3" w14:textId="4B611713" w:rsidR="00514D6B" w:rsidRPr="00EA0EA9" w:rsidRDefault="00514D6B" w:rsidP="00572134">
      <w:pPr>
        <w:shd w:val="clear" w:color="auto" w:fill="FFFFFF"/>
        <w:spacing w:before="100" w:beforeAutospacing="1" w:after="100" w:afterAutospacing="1" w:line="276" w:lineRule="auto"/>
        <w:jc w:val="both"/>
        <w:rPr>
          <w:rFonts w:asciiTheme="majorHAnsi" w:eastAsia="Times New Roman" w:hAnsiTheme="majorHAnsi" w:cs="Arial"/>
          <w:szCs w:val="20"/>
          <w:lang w:eastAsia="en-GB"/>
        </w:rPr>
      </w:pPr>
      <w:r w:rsidRPr="00EA0EA9">
        <w:rPr>
          <w:rFonts w:asciiTheme="majorHAnsi" w:eastAsia="Times New Roman" w:hAnsiTheme="majorHAnsi" w:cs="Arial"/>
          <w:szCs w:val="20"/>
          <w:lang w:eastAsia="en-GB"/>
        </w:rPr>
        <w:t xml:space="preserve">The above factors are inextricably interlinked and they –to a large extent- define the contours of the South African regulatory framework for civil society organizations, their </w:t>
      </w:r>
      <w:r w:rsidR="00983587" w:rsidRPr="00EA0EA9">
        <w:rPr>
          <w:rFonts w:asciiTheme="majorHAnsi" w:eastAsia="Times New Roman" w:hAnsiTheme="majorHAnsi" w:cs="Arial"/>
          <w:szCs w:val="20"/>
          <w:lang w:eastAsia="en-GB"/>
        </w:rPr>
        <w:t>rights,</w:t>
      </w:r>
      <w:r w:rsidR="00CA7838">
        <w:rPr>
          <w:rFonts w:asciiTheme="majorHAnsi" w:eastAsia="Times New Roman" w:hAnsiTheme="majorHAnsi" w:cs="Arial"/>
          <w:szCs w:val="20"/>
          <w:lang w:eastAsia="en-GB"/>
        </w:rPr>
        <w:t xml:space="preserve"> </w:t>
      </w:r>
      <w:r w:rsidR="00983587" w:rsidRPr="00EA0EA9">
        <w:rPr>
          <w:rFonts w:asciiTheme="majorHAnsi" w:eastAsia="Times New Roman" w:hAnsiTheme="majorHAnsi" w:cs="Arial"/>
          <w:szCs w:val="20"/>
          <w:lang w:eastAsia="en-GB"/>
        </w:rPr>
        <w:t>privileges,</w:t>
      </w:r>
      <w:r w:rsidRPr="00EA0EA9">
        <w:rPr>
          <w:rFonts w:asciiTheme="majorHAnsi" w:eastAsia="Times New Roman" w:hAnsiTheme="majorHAnsi" w:cs="Arial"/>
          <w:szCs w:val="20"/>
          <w:lang w:eastAsia="en-GB"/>
        </w:rPr>
        <w:t xml:space="preserve"> form, programmatic interventions and governance architecture. The political economy of civil society in South Africa is highly </w:t>
      </w:r>
      <w:r w:rsidR="00983587" w:rsidRPr="00EA0EA9">
        <w:rPr>
          <w:rFonts w:asciiTheme="majorHAnsi" w:eastAsia="Times New Roman" w:hAnsiTheme="majorHAnsi" w:cs="Arial"/>
          <w:szCs w:val="20"/>
          <w:lang w:eastAsia="en-GB"/>
        </w:rPr>
        <w:t>complex as</w:t>
      </w:r>
      <w:r w:rsidRPr="00EA0EA9">
        <w:rPr>
          <w:rFonts w:asciiTheme="majorHAnsi" w:eastAsia="Times New Roman" w:hAnsiTheme="majorHAnsi" w:cs="Arial"/>
          <w:szCs w:val="20"/>
          <w:lang w:eastAsia="en-GB"/>
        </w:rPr>
        <w:t xml:space="preserve"> is the different visions of development propounded by different types of civil society. The contestations and preferences of the dominant groups in civil society, politics and business inform and shape the behaviour and policy choices of various political and economic elites as well as subaltern classes that engage and/or benefit from civil society organizations. They define the developmental and governance roles of civil society as well as its numerous contradictions. As such, the very notion of civil society space, enabling environment and development effectiveness is also highly contested and inescapably contradictory within the South African context.</w:t>
      </w:r>
    </w:p>
    <w:p w14:paraId="243E0A5E" w14:textId="77777777" w:rsidR="00C14319" w:rsidRPr="00EA0EA9" w:rsidRDefault="00514D6B" w:rsidP="00572134">
      <w:pPr>
        <w:shd w:val="clear" w:color="auto" w:fill="FFFFFF"/>
        <w:spacing w:before="100" w:beforeAutospacing="1" w:after="100" w:afterAutospacing="1" w:line="276" w:lineRule="auto"/>
        <w:jc w:val="both"/>
        <w:rPr>
          <w:rFonts w:asciiTheme="majorHAnsi" w:eastAsia="Times New Roman" w:hAnsiTheme="majorHAnsi" w:cs="Arial"/>
          <w:szCs w:val="20"/>
          <w:lang w:eastAsia="en-GB"/>
        </w:rPr>
      </w:pPr>
      <w:r w:rsidRPr="00EA0EA9">
        <w:rPr>
          <w:rFonts w:asciiTheme="majorHAnsi" w:eastAsia="Times New Roman" w:hAnsiTheme="majorHAnsi" w:cs="Arial"/>
          <w:szCs w:val="20"/>
          <w:lang w:eastAsia="en-GB"/>
        </w:rPr>
        <w:t>Civil society structures form</w:t>
      </w:r>
      <w:r w:rsidR="00983587" w:rsidRPr="00EA0EA9">
        <w:rPr>
          <w:rFonts w:asciiTheme="majorHAnsi" w:eastAsia="Times New Roman" w:hAnsiTheme="majorHAnsi" w:cs="Arial"/>
          <w:szCs w:val="20"/>
          <w:lang w:eastAsia="en-GB"/>
        </w:rPr>
        <w:t xml:space="preserve"> an important space for social </w:t>
      </w:r>
      <w:r w:rsidRPr="00EA0EA9">
        <w:rPr>
          <w:rFonts w:asciiTheme="majorHAnsi" w:eastAsia="Times New Roman" w:hAnsiTheme="majorHAnsi" w:cs="Arial"/>
          <w:szCs w:val="20"/>
          <w:lang w:eastAsia="en-GB"/>
        </w:rPr>
        <w:t xml:space="preserve">cohesion and solidarity, service delivery and a voice of critique and expression requisite for the building of democratic and free societies. In South </w:t>
      </w:r>
      <w:r w:rsidR="00983587" w:rsidRPr="00EA0EA9">
        <w:rPr>
          <w:rFonts w:asciiTheme="majorHAnsi" w:eastAsia="Times New Roman" w:hAnsiTheme="majorHAnsi" w:cs="Arial"/>
          <w:szCs w:val="20"/>
          <w:lang w:eastAsia="en-GB"/>
        </w:rPr>
        <w:t>Africa,</w:t>
      </w:r>
      <w:r w:rsidRPr="00EA0EA9">
        <w:rPr>
          <w:rFonts w:asciiTheme="majorHAnsi" w:eastAsia="Times New Roman" w:hAnsiTheme="majorHAnsi" w:cs="Arial"/>
          <w:szCs w:val="20"/>
          <w:lang w:eastAsia="en-GB"/>
        </w:rPr>
        <w:t xml:space="preserve"> civil society played a critical role in the transition to </w:t>
      </w:r>
      <w:r w:rsidR="00983587" w:rsidRPr="00EA0EA9">
        <w:rPr>
          <w:rFonts w:asciiTheme="majorHAnsi" w:eastAsia="Times New Roman" w:hAnsiTheme="majorHAnsi" w:cs="Arial"/>
          <w:szCs w:val="20"/>
          <w:lang w:eastAsia="en-GB"/>
        </w:rPr>
        <w:t xml:space="preserve">democracy. </w:t>
      </w:r>
      <w:r w:rsidRPr="00EA0EA9">
        <w:rPr>
          <w:rFonts w:asciiTheme="majorHAnsi" w:eastAsia="Times New Roman" w:hAnsiTheme="majorHAnsi" w:cs="Arial"/>
          <w:szCs w:val="20"/>
          <w:lang w:eastAsia="en-GB"/>
        </w:rPr>
        <w:t xml:space="preserve">Under </w:t>
      </w:r>
      <w:r w:rsidR="00983587" w:rsidRPr="00EA0EA9">
        <w:rPr>
          <w:rFonts w:asciiTheme="majorHAnsi" w:eastAsia="Times New Roman" w:hAnsiTheme="majorHAnsi" w:cs="Arial"/>
          <w:szCs w:val="20"/>
          <w:lang w:eastAsia="en-GB"/>
        </w:rPr>
        <w:t>A</w:t>
      </w:r>
      <w:r w:rsidRPr="00EA0EA9">
        <w:rPr>
          <w:rFonts w:asciiTheme="majorHAnsi" w:eastAsia="Times New Roman" w:hAnsiTheme="majorHAnsi" w:cs="Arial"/>
          <w:szCs w:val="20"/>
          <w:lang w:eastAsia="en-GB"/>
        </w:rPr>
        <w:t xml:space="preserve">partheid civil society was generally defined or categorized based on its relationship the State. Some CSOs positioned themselves to serve minority white interests and thus aligned themselves with the </w:t>
      </w:r>
      <w:r w:rsidR="00983587" w:rsidRPr="00EA0EA9">
        <w:rPr>
          <w:rFonts w:asciiTheme="majorHAnsi" w:eastAsia="Times New Roman" w:hAnsiTheme="majorHAnsi" w:cs="Arial"/>
          <w:szCs w:val="20"/>
          <w:lang w:eastAsia="en-GB"/>
        </w:rPr>
        <w:t>Apartheid</w:t>
      </w:r>
      <w:r w:rsidRPr="00EA0EA9">
        <w:rPr>
          <w:rFonts w:asciiTheme="majorHAnsi" w:eastAsia="Times New Roman" w:hAnsiTheme="majorHAnsi" w:cs="Arial"/>
          <w:szCs w:val="20"/>
          <w:lang w:eastAsia="en-GB"/>
        </w:rPr>
        <w:t xml:space="preserve"> State. Other CSOs aligned themselves with the anti-apartheid cause and thus were deemed to be in op</w:t>
      </w:r>
      <w:r w:rsidR="00C14319" w:rsidRPr="00EA0EA9">
        <w:rPr>
          <w:rFonts w:asciiTheme="majorHAnsi" w:eastAsia="Times New Roman" w:hAnsiTheme="majorHAnsi" w:cs="Arial"/>
          <w:szCs w:val="20"/>
          <w:lang w:eastAsia="en-GB"/>
        </w:rPr>
        <w:t xml:space="preserve">position to the State. </w:t>
      </w:r>
    </w:p>
    <w:p w14:paraId="7B207849" w14:textId="089D3FBF" w:rsidR="00514D6B" w:rsidRPr="00EA0EA9" w:rsidRDefault="00C14319" w:rsidP="00572134">
      <w:pPr>
        <w:shd w:val="clear" w:color="auto" w:fill="FFFFFF"/>
        <w:spacing w:before="100" w:beforeAutospacing="1" w:after="100" w:afterAutospacing="1" w:line="276" w:lineRule="auto"/>
        <w:jc w:val="both"/>
        <w:rPr>
          <w:rFonts w:asciiTheme="majorHAnsi" w:eastAsia="Times New Roman" w:hAnsiTheme="majorHAnsi" w:cs="Arial"/>
          <w:b/>
          <w:i/>
          <w:szCs w:val="20"/>
          <w:lang w:eastAsia="en-GB"/>
        </w:rPr>
      </w:pPr>
      <w:r w:rsidRPr="00EA0EA9">
        <w:rPr>
          <w:rFonts w:asciiTheme="majorHAnsi" w:eastAsia="Times New Roman" w:hAnsiTheme="majorHAnsi" w:cs="Arial"/>
          <w:szCs w:val="20"/>
          <w:lang w:eastAsia="en-GB"/>
        </w:rPr>
        <w:t>In post-</w:t>
      </w:r>
      <w:r w:rsidR="00792E33" w:rsidRPr="00EA0EA9">
        <w:rPr>
          <w:rFonts w:asciiTheme="majorHAnsi" w:eastAsia="Times New Roman" w:hAnsiTheme="majorHAnsi" w:cs="Arial"/>
          <w:szCs w:val="20"/>
          <w:lang w:eastAsia="en-GB"/>
        </w:rPr>
        <w:t>Apartheid,</w:t>
      </w:r>
      <w:r w:rsidR="00514D6B" w:rsidRPr="00EA0EA9">
        <w:rPr>
          <w:rFonts w:asciiTheme="majorHAnsi" w:eastAsia="Times New Roman" w:hAnsiTheme="majorHAnsi" w:cs="Arial"/>
          <w:szCs w:val="20"/>
          <w:lang w:eastAsia="en-GB"/>
        </w:rPr>
        <w:t xml:space="preserve"> South Africa, the term civil society sanitizes, modernizes and replicates relations of power, privilege, exclusion and inclusion (and dominance) that development practice has long discarded or significantly modified. Ideas about ‘givers’ and ‘receivers’, ‘knowers’ and ‘learners’ that are both inorganic and abstracted from contextual reality often re-incarnate under the guise of modern civil society interventions. The current forms, structures, processes, programmes and struggles of </w:t>
      </w:r>
      <w:r w:rsidR="00514D6B" w:rsidRPr="00EA0EA9">
        <w:rPr>
          <w:rFonts w:asciiTheme="majorHAnsi" w:eastAsia="Times New Roman" w:hAnsiTheme="majorHAnsi" w:cs="Arial"/>
          <w:szCs w:val="20"/>
          <w:lang w:eastAsia="en-GB"/>
        </w:rPr>
        <w:lastRenderedPageBreak/>
        <w:t>civil s</w:t>
      </w:r>
      <w:r w:rsidR="00F7106A">
        <w:rPr>
          <w:rFonts w:asciiTheme="majorHAnsi" w:eastAsia="Times New Roman" w:hAnsiTheme="majorHAnsi" w:cs="Arial"/>
          <w:szCs w:val="20"/>
          <w:lang w:eastAsia="en-GB"/>
        </w:rPr>
        <w:t>ociety reflect lingering racial</w:t>
      </w:r>
      <w:r w:rsidR="00514D6B" w:rsidRPr="00EA0EA9">
        <w:rPr>
          <w:rFonts w:asciiTheme="majorHAnsi" w:eastAsia="Times New Roman" w:hAnsiTheme="majorHAnsi" w:cs="Arial"/>
          <w:szCs w:val="20"/>
          <w:lang w:eastAsia="en-GB"/>
        </w:rPr>
        <w:t xml:space="preserve">, class, gender and generational contradictions of both nation-building and state </w:t>
      </w:r>
      <w:proofErr w:type="gramStart"/>
      <w:r w:rsidR="00514D6B" w:rsidRPr="00EA0EA9">
        <w:rPr>
          <w:rFonts w:asciiTheme="majorHAnsi" w:eastAsia="Times New Roman" w:hAnsiTheme="majorHAnsi" w:cs="Arial"/>
          <w:szCs w:val="20"/>
          <w:lang w:eastAsia="en-GB"/>
        </w:rPr>
        <w:t>formation(</w:t>
      </w:r>
      <w:proofErr w:type="gramEnd"/>
      <w:r w:rsidR="00514D6B" w:rsidRPr="00EA0EA9">
        <w:rPr>
          <w:rFonts w:asciiTheme="majorHAnsi" w:eastAsia="Times New Roman" w:hAnsiTheme="majorHAnsi" w:cs="Arial"/>
          <w:szCs w:val="20"/>
          <w:lang w:eastAsia="en-GB"/>
        </w:rPr>
        <w:t>and reformation) in post-</w:t>
      </w:r>
      <w:r w:rsidRPr="00EA0EA9">
        <w:rPr>
          <w:rFonts w:asciiTheme="majorHAnsi" w:eastAsia="Times New Roman" w:hAnsiTheme="majorHAnsi" w:cs="Arial"/>
          <w:szCs w:val="20"/>
          <w:lang w:eastAsia="en-GB"/>
        </w:rPr>
        <w:t>A</w:t>
      </w:r>
      <w:r w:rsidR="00514D6B" w:rsidRPr="00EA0EA9">
        <w:rPr>
          <w:rFonts w:asciiTheme="majorHAnsi" w:eastAsia="Times New Roman" w:hAnsiTheme="majorHAnsi" w:cs="Arial"/>
          <w:szCs w:val="20"/>
          <w:lang w:eastAsia="en-GB"/>
        </w:rPr>
        <w:t xml:space="preserve">partheid South Africa. This is more so when one asks the following critical questions: </w:t>
      </w:r>
      <w:r w:rsidR="00514D6B" w:rsidRPr="00EA0EA9">
        <w:rPr>
          <w:rFonts w:asciiTheme="majorHAnsi" w:eastAsia="Times New Roman" w:hAnsiTheme="majorHAnsi" w:cs="Arial"/>
          <w:b/>
          <w:i/>
          <w:szCs w:val="20"/>
          <w:lang w:eastAsia="en-GB"/>
        </w:rPr>
        <w:t xml:space="preserve">which CSO does </w:t>
      </w:r>
      <w:proofErr w:type="gramStart"/>
      <w:r w:rsidR="00514D6B" w:rsidRPr="00EA0EA9">
        <w:rPr>
          <w:rFonts w:asciiTheme="majorHAnsi" w:eastAsia="Times New Roman" w:hAnsiTheme="majorHAnsi" w:cs="Arial"/>
          <w:b/>
          <w:i/>
          <w:szCs w:val="20"/>
          <w:lang w:eastAsia="en-GB"/>
        </w:rPr>
        <w:t>what ?For</w:t>
      </w:r>
      <w:proofErr w:type="gramEnd"/>
      <w:r w:rsidR="00514D6B" w:rsidRPr="00EA0EA9">
        <w:rPr>
          <w:rFonts w:asciiTheme="majorHAnsi" w:eastAsia="Times New Roman" w:hAnsiTheme="majorHAnsi" w:cs="Arial"/>
          <w:b/>
          <w:i/>
          <w:szCs w:val="20"/>
          <w:lang w:eastAsia="en-GB"/>
        </w:rPr>
        <w:t xml:space="preserve"> whom? Where? Why? And How? </w:t>
      </w:r>
    </w:p>
    <w:p w14:paraId="27B374F1" w14:textId="77777777" w:rsidR="00514D6B" w:rsidRPr="00EA0EA9" w:rsidRDefault="00514D6B" w:rsidP="00572134">
      <w:pPr>
        <w:shd w:val="clear" w:color="auto" w:fill="FFFFFF"/>
        <w:spacing w:before="100" w:beforeAutospacing="1" w:after="100" w:afterAutospacing="1" w:line="276" w:lineRule="auto"/>
        <w:jc w:val="both"/>
        <w:rPr>
          <w:rFonts w:asciiTheme="majorHAnsi" w:eastAsia="Times New Roman" w:hAnsiTheme="majorHAnsi" w:cs="Arial"/>
          <w:szCs w:val="20"/>
          <w:lang w:eastAsia="en-GB"/>
        </w:rPr>
      </w:pPr>
      <w:r w:rsidRPr="00EA0EA9">
        <w:rPr>
          <w:rFonts w:asciiTheme="majorHAnsi" w:eastAsia="Times New Roman" w:hAnsiTheme="majorHAnsi" w:cs="Arial"/>
          <w:szCs w:val="20"/>
          <w:lang w:eastAsia="en-GB"/>
        </w:rPr>
        <w:t>Since 1994</w:t>
      </w:r>
      <w:r w:rsidR="000C591C" w:rsidRPr="00EA0EA9">
        <w:rPr>
          <w:rFonts w:asciiTheme="majorHAnsi" w:eastAsia="Times New Roman" w:hAnsiTheme="majorHAnsi" w:cs="Arial"/>
          <w:szCs w:val="20"/>
          <w:lang w:eastAsia="en-GB"/>
        </w:rPr>
        <w:t>,</w:t>
      </w:r>
      <w:r w:rsidRPr="00EA0EA9">
        <w:rPr>
          <w:rFonts w:asciiTheme="majorHAnsi" w:eastAsia="Times New Roman" w:hAnsiTheme="majorHAnsi" w:cs="Arial"/>
          <w:szCs w:val="20"/>
          <w:lang w:eastAsia="en-GB"/>
        </w:rPr>
        <w:t xml:space="preserve"> CSOs have had to renegotiate their relationship with the State. Some who were highly supportive in the beginning have become avid opponents upon discovering that the</w:t>
      </w:r>
      <w:r w:rsidR="000C591C" w:rsidRPr="00EA0EA9">
        <w:rPr>
          <w:rFonts w:asciiTheme="majorHAnsi" w:eastAsia="Times New Roman" w:hAnsiTheme="majorHAnsi" w:cs="Arial"/>
          <w:szCs w:val="20"/>
          <w:lang w:eastAsia="en-GB"/>
        </w:rPr>
        <w:t xml:space="preserve"> State</w:t>
      </w:r>
      <w:r w:rsidRPr="00EA0EA9">
        <w:rPr>
          <w:rFonts w:asciiTheme="majorHAnsi" w:eastAsia="Times New Roman" w:hAnsiTheme="majorHAnsi" w:cs="Arial"/>
          <w:szCs w:val="20"/>
          <w:lang w:eastAsia="en-GB"/>
        </w:rPr>
        <w:t xml:space="preserve"> has not delivered on its promises and as a result have opted to align themselves with poor communities, either against the State or without State assistance or interest.  Civil Society’s recent association with ‘holiday celebrity’ and the billionaires c</w:t>
      </w:r>
      <w:r w:rsidR="00741277" w:rsidRPr="00EA0EA9">
        <w:rPr>
          <w:rFonts w:asciiTheme="majorHAnsi" w:eastAsia="Times New Roman" w:hAnsiTheme="majorHAnsi" w:cs="Arial"/>
          <w:szCs w:val="20"/>
          <w:lang w:eastAsia="en-GB"/>
        </w:rPr>
        <w:t xml:space="preserve">lub </w:t>
      </w:r>
      <w:r w:rsidRPr="00EA0EA9">
        <w:rPr>
          <w:rFonts w:asciiTheme="majorHAnsi" w:eastAsia="Times New Roman" w:hAnsiTheme="majorHAnsi" w:cs="Arial"/>
          <w:szCs w:val="20"/>
          <w:lang w:eastAsia="en-GB"/>
        </w:rPr>
        <w:t xml:space="preserve">has created the impression that it may merely be the public relations arm of extractive national and global finance capital. That it may be telescopic and idealistic to the point of long-term irrelevance except for its ability to throw money at South Africa’s structural poverty. </w:t>
      </w:r>
    </w:p>
    <w:p w14:paraId="2A9A1519" w14:textId="77777777" w:rsidR="00514D6B" w:rsidRPr="00EA0EA9" w:rsidRDefault="00514D6B" w:rsidP="00572134">
      <w:pPr>
        <w:shd w:val="clear" w:color="auto" w:fill="FFFFFF"/>
        <w:spacing w:before="100" w:beforeAutospacing="1" w:after="100" w:afterAutospacing="1" w:line="276" w:lineRule="auto"/>
        <w:jc w:val="both"/>
        <w:rPr>
          <w:rFonts w:asciiTheme="majorHAnsi" w:eastAsia="Times New Roman" w:hAnsiTheme="majorHAnsi" w:cs="Arial"/>
          <w:szCs w:val="20"/>
          <w:lang w:eastAsia="en-GB"/>
        </w:rPr>
      </w:pPr>
      <w:r w:rsidRPr="00EA0EA9">
        <w:rPr>
          <w:rFonts w:asciiTheme="majorHAnsi" w:eastAsia="Times New Roman" w:hAnsiTheme="majorHAnsi" w:cs="Arial"/>
          <w:szCs w:val="20"/>
          <w:lang w:eastAsia="en-GB"/>
        </w:rPr>
        <w:t>There are no agreed indices and tools for measuring the performance of investments by civi</w:t>
      </w:r>
      <w:r w:rsidR="00E37841" w:rsidRPr="00EA0EA9">
        <w:rPr>
          <w:rFonts w:asciiTheme="majorHAnsi" w:eastAsia="Times New Roman" w:hAnsiTheme="majorHAnsi" w:cs="Arial"/>
          <w:szCs w:val="20"/>
          <w:lang w:eastAsia="en-GB"/>
        </w:rPr>
        <w:t xml:space="preserve">l society organisations. It is therefore </w:t>
      </w:r>
      <w:r w:rsidRPr="00EA0EA9">
        <w:rPr>
          <w:rFonts w:asciiTheme="majorHAnsi" w:eastAsia="Times New Roman" w:hAnsiTheme="majorHAnsi" w:cs="Arial"/>
          <w:szCs w:val="20"/>
          <w:lang w:eastAsia="en-GB"/>
        </w:rPr>
        <w:t>difficult to effectively and accurately measure civil society’s real contribution towards local and national development</w:t>
      </w:r>
      <w:r w:rsidR="00E37841" w:rsidRPr="00EA0EA9">
        <w:rPr>
          <w:rFonts w:asciiTheme="majorHAnsi" w:eastAsia="Times New Roman" w:hAnsiTheme="majorHAnsi" w:cs="Arial"/>
          <w:szCs w:val="20"/>
          <w:lang w:eastAsia="en-GB"/>
        </w:rPr>
        <w:t>,</w:t>
      </w:r>
      <w:r w:rsidRPr="00EA0EA9">
        <w:rPr>
          <w:rFonts w:asciiTheme="majorHAnsi" w:eastAsia="Times New Roman" w:hAnsiTheme="majorHAnsi" w:cs="Arial"/>
          <w:szCs w:val="20"/>
          <w:lang w:eastAsia="en-GB"/>
        </w:rPr>
        <w:t xml:space="preserve"> without a measure of either subjectivity or resorting to anecdotes. Indices developed by CIVICUS, multilateral and </w:t>
      </w:r>
      <w:r w:rsidR="00E37841" w:rsidRPr="00EA0EA9">
        <w:rPr>
          <w:rFonts w:asciiTheme="majorHAnsi" w:eastAsia="Times New Roman" w:hAnsiTheme="majorHAnsi" w:cs="Arial"/>
          <w:szCs w:val="20"/>
          <w:lang w:eastAsia="en-GB"/>
        </w:rPr>
        <w:t>private such</w:t>
      </w:r>
      <w:r w:rsidRPr="00EA0EA9">
        <w:rPr>
          <w:rFonts w:asciiTheme="majorHAnsi" w:eastAsia="Times New Roman" w:hAnsiTheme="majorHAnsi" w:cs="Arial"/>
          <w:szCs w:val="20"/>
          <w:lang w:eastAsia="en-GB"/>
        </w:rPr>
        <w:t xml:space="preserve"> organizations such as </w:t>
      </w:r>
      <w:r w:rsidR="00E37841" w:rsidRPr="00EA0EA9">
        <w:rPr>
          <w:rFonts w:asciiTheme="majorHAnsi" w:eastAsia="Times New Roman" w:hAnsiTheme="majorHAnsi" w:cs="Arial"/>
          <w:szCs w:val="20"/>
          <w:lang w:eastAsia="en-GB"/>
        </w:rPr>
        <w:t>USAID are</w:t>
      </w:r>
      <w:r w:rsidRPr="00EA0EA9">
        <w:rPr>
          <w:rFonts w:asciiTheme="majorHAnsi" w:eastAsia="Times New Roman" w:hAnsiTheme="majorHAnsi" w:cs="Arial"/>
          <w:szCs w:val="20"/>
          <w:lang w:eastAsia="en-GB"/>
        </w:rPr>
        <w:t xml:space="preserve"> not always well suited to non-NGO forms of civil society such as social movements and online mobilization platforms. Most indicators are not closely connected to tangible features of civil society reality and as such their validity is impugned. The </w:t>
      </w:r>
      <w:proofErr w:type="spellStart"/>
      <w:r w:rsidRPr="00EA0EA9">
        <w:rPr>
          <w:rFonts w:asciiTheme="majorHAnsi" w:eastAsia="Times New Roman" w:hAnsiTheme="majorHAnsi" w:cs="Arial"/>
          <w:szCs w:val="20"/>
          <w:lang w:eastAsia="en-GB"/>
        </w:rPr>
        <w:t>realiability</w:t>
      </w:r>
      <w:proofErr w:type="spellEnd"/>
      <w:r w:rsidRPr="00EA0EA9">
        <w:rPr>
          <w:rFonts w:asciiTheme="majorHAnsi" w:eastAsia="Times New Roman" w:hAnsiTheme="majorHAnsi" w:cs="Arial"/>
          <w:szCs w:val="20"/>
          <w:lang w:eastAsia="en-GB"/>
        </w:rPr>
        <w:t xml:space="preserve"> of data sets used as well as objectivity of the analysis is often questioned because indicators tend to either be subjective perceptions as opposed to measurable indicators. </w:t>
      </w:r>
    </w:p>
    <w:p w14:paraId="742827DC" w14:textId="77777777" w:rsidR="00514D6B" w:rsidRPr="00EA0EA9" w:rsidRDefault="00514D6B" w:rsidP="00572134">
      <w:pPr>
        <w:shd w:val="clear" w:color="auto" w:fill="FFFFFF"/>
        <w:spacing w:before="100" w:beforeAutospacing="1" w:after="100" w:afterAutospacing="1" w:line="276" w:lineRule="auto"/>
        <w:jc w:val="both"/>
        <w:rPr>
          <w:rFonts w:asciiTheme="majorHAnsi" w:eastAsia="Times New Roman" w:hAnsiTheme="majorHAnsi" w:cs="Arial"/>
          <w:szCs w:val="20"/>
          <w:lang w:eastAsia="en-GB"/>
        </w:rPr>
      </w:pPr>
      <w:r w:rsidRPr="00EA0EA9">
        <w:rPr>
          <w:rFonts w:asciiTheme="majorHAnsi" w:eastAsia="Times New Roman" w:hAnsiTheme="majorHAnsi" w:cs="Arial"/>
          <w:szCs w:val="20"/>
          <w:lang w:eastAsia="en-GB"/>
        </w:rPr>
        <w:t xml:space="preserve">Globally, there are growing calls to link civil society programming to broader State or international SDGs. However, the desirability of imposing lofty transformational objectives to what is essentially a private expression of empathy and social solidarity is debatable. Suffice it to state that, private giving actuated largely by private subjective considerations is difficult to classify or measure within the same realm and using the same tools as those applied to public development initiatives financed by taxes and </w:t>
      </w:r>
      <w:r w:rsidR="00E37841" w:rsidRPr="00EA0EA9">
        <w:rPr>
          <w:rFonts w:asciiTheme="majorHAnsi" w:eastAsia="Times New Roman" w:hAnsiTheme="majorHAnsi" w:cs="Arial"/>
          <w:szCs w:val="20"/>
          <w:lang w:eastAsia="en-GB"/>
        </w:rPr>
        <w:t>official development assistance</w:t>
      </w:r>
      <w:r w:rsidRPr="00EA0EA9">
        <w:rPr>
          <w:rFonts w:asciiTheme="majorHAnsi" w:eastAsia="Times New Roman" w:hAnsiTheme="majorHAnsi" w:cs="Arial"/>
          <w:szCs w:val="20"/>
          <w:lang w:eastAsia="en-GB"/>
        </w:rPr>
        <w:t xml:space="preserve">. However, because CSOs often approach the State for specific rights and privileges such as customs duty exemptions and tax deductions, they may be an arguable case for alignment of their interventions with consensually agreed national development strategies and goals. The obvious difficulty of such an approach lies in the assumptions it makes regarding legitimacy of the State, government and existent of consent of the governed. The further difficulty arises when entities such as social movements specifically constitute themselves to oppose specific State policies or to be anti-State. </w:t>
      </w:r>
    </w:p>
    <w:p w14:paraId="438E2393" w14:textId="0DDC0A49" w:rsidR="00514D6B" w:rsidRPr="00EA0EA9" w:rsidRDefault="00514D6B" w:rsidP="00572134">
      <w:pPr>
        <w:shd w:val="clear" w:color="auto" w:fill="FFFFFF"/>
        <w:spacing w:before="100" w:beforeAutospacing="1" w:after="100" w:afterAutospacing="1" w:line="276" w:lineRule="auto"/>
        <w:jc w:val="both"/>
        <w:rPr>
          <w:rFonts w:asciiTheme="majorHAnsi" w:eastAsia="Times New Roman" w:hAnsiTheme="majorHAnsi" w:cs="Arial"/>
          <w:szCs w:val="20"/>
          <w:lang w:eastAsia="en-GB"/>
        </w:rPr>
      </w:pPr>
      <w:r w:rsidRPr="00EA0EA9">
        <w:rPr>
          <w:rFonts w:asciiTheme="majorHAnsi" w:eastAsia="Times New Roman" w:hAnsiTheme="majorHAnsi" w:cs="Arial"/>
          <w:szCs w:val="20"/>
          <w:lang w:eastAsia="en-GB"/>
        </w:rPr>
        <w:t xml:space="preserve">The search for globally and nationally unifying development frameworks must –of necessity contend with national and local particularities and contradictions. Unlike NGOs, </w:t>
      </w:r>
      <w:r w:rsidRPr="00EA0EA9">
        <w:rPr>
          <w:rFonts w:asciiTheme="majorHAnsi" w:eastAsia="Times New Roman" w:hAnsiTheme="majorHAnsi" w:cs="Arial"/>
          <w:szCs w:val="20"/>
          <w:lang w:eastAsia="en-GB"/>
        </w:rPr>
        <w:lastRenderedPageBreak/>
        <w:t>social movements often do not approach the State for tax or customs benefits and privileges. Their lived realities shape the course, content and form of their popular struggles outside the neat formulaic parame</w:t>
      </w:r>
      <w:r w:rsidR="00E37841" w:rsidRPr="00EA0EA9">
        <w:rPr>
          <w:rFonts w:asciiTheme="majorHAnsi" w:eastAsia="Times New Roman" w:hAnsiTheme="majorHAnsi" w:cs="Arial"/>
          <w:szCs w:val="20"/>
          <w:lang w:eastAsia="en-GB"/>
        </w:rPr>
        <w:t>ters of S</w:t>
      </w:r>
      <w:r w:rsidRPr="00EA0EA9">
        <w:rPr>
          <w:rFonts w:asciiTheme="majorHAnsi" w:eastAsia="Times New Roman" w:hAnsiTheme="majorHAnsi" w:cs="Arial"/>
          <w:szCs w:val="20"/>
          <w:lang w:eastAsia="en-GB"/>
        </w:rPr>
        <w:t>DGs. However, the fact that all citizen associations work directly with the publics and the possibility that some of them can and does get incentivised through public benefits thus justifies imposition of a measure of objective scrutiny or impact assessment. Even when CSOs do not derive any public benefit from public taxes, the impact of CSOs on socio-cultural and economic behaviours within communities justifies their assessment against objective developmental aspirations of society or at the very least ethical and other values that govern such society.</w:t>
      </w:r>
      <w:r w:rsidR="00F7106A">
        <w:rPr>
          <w:rFonts w:asciiTheme="majorHAnsi" w:eastAsia="Times New Roman" w:hAnsiTheme="majorHAnsi" w:cs="Arial"/>
          <w:szCs w:val="20"/>
          <w:lang w:eastAsia="en-GB"/>
        </w:rPr>
        <w:t xml:space="preserve"> </w:t>
      </w:r>
      <w:r w:rsidRPr="00EA0EA9">
        <w:rPr>
          <w:rFonts w:asciiTheme="majorHAnsi" w:eastAsia="Times New Roman" w:hAnsiTheme="majorHAnsi" w:cs="Arial"/>
          <w:szCs w:val="20"/>
          <w:lang w:eastAsia="en-GB"/>
        </w:rPr>
        <w:t xml:space="preserve">Such an assessment is only feasible if the objective operational environment is enabling in every sense of the word. In order to be enabling such environment must be characterised by law, policies and practices that respect and promote human </w:t>
      </w:r>
      <w:r w:rsidR="003C1416" w:rsidRPr="00EA0EA9">
        <w:rPr>
          <w:rFonts w:asciiTheme="majorHAnsi" w:eastAsia="Times New Roman" w:hAnsiTheme="majorHAnsi" w:cs="Arial"/>
          <w:szCs w:val="20"/>
          <w:lang w:eastAsia="en-GB"/>
        </w:rPr>
        <w:t>rights,</w:t>
      </w:r>
      <w:r w:rsidRPr="00EA0EA9">
        <w:rPr>
          <w:rFonts w:asciiTheme="majorHAnsi" w:eastAsia="Times New Roman" w:hAnsiTheme="majorHAnsi" w:cs="Arial"/>
          <w:szCs w:val="20"/>
          <w:lang w:eastAsia="en-GB"/>
        </w:rPr>
        <w:t xml:space="preserve"> access to justice and rule of law. It must be an environment in which there is no undue interference by the State nor restrictive sanction of the activities and participation of civil society organizations in both development and governance processes. Ideally there must exist the policy space for CSOs to input into and influence policy trajectory.</w:t>
      </w:r>
    </w:p>
    <w:p w14:paraId="3EF79399" w14:textId="77777777" w:rsidR="00E7405A" w:rsidRPr="00EA0EA9" w:rsidRDefault="00E7405A" w:rsidP="00AA4AD1">
      <w:pPr>
        <w:pStyle w:val="Heading1"/>
        <w:numPr>
          <w:ilvl w:val="0"/>
          <w:numId w:val="75"/>
        </w:numPr>
        <w:jc w:val="both"/>
        <w:rPr>
          <w:rFonts w:eastAsia="Times New Roman"/>
          <w:color w:val="0000FF"/>
          <w:sz w:val="32"/>
          <w:lang w:eastAsia="en-GB"/>
        </w:rPr>
      </w:pPr>
      <w:bookmarkStart w:id="31" w:name="_Toc476983589"/>
      <w:r w:rsidRPr="00EA0EA9">
        <w:rPr>
          <w:rFonts w:eastAsia="Times New Roman"/>
          <w:color w:val="0000FF"/>
          <w:sz w:val="32"/>
          <w:lang w:eastAsia="en-GB"/>
        </w:rPr>
        <w:t xml:space="preserve">Child </w:t>
      </w:r>
      <w:r w:rsidR="000E4213" w:rsidRPr="00EA0EA9">
        <w:rPr>
          <w:rFonts w:eastAsia="Times New Roman"/>
          <w:color w:val="0000FF"/>
          <w:sz w:val="32"/>
          <w:lang w:eastAsia="en-GB"/>
        </w:rPr>
        <w:t xml:space="preserve">Rights in </w:t>
      </w:r>
      <w:r w:rsidRPr="00EA0EA9">
        <w:rPr>
          <w:rFonts w:eastAsia="Times New Roman"/>
          <w:color w:val="0000FF"/>
          <w:sz w:val="32"/>
          <w:lang w:eastAsia="en-GB"/>
        </w:rPr>
        <w:t>South Africa</w:t>
      </w:r>
      <w:r w:rsidR="0079320A" w:rsidRPr="00EA0EA9">
        <w:rPr>
          <w:rFonts w:eastAsia="Times New Roman"/>
          <w:color w:val="0000FF"/>
          <w:sz w:val="32"/>
          <w:lang w:eastAsia="en-GB"/>
        </w:rPr>
        <w:t xml:space="preserve">: </w:t>
      </w:r>
      <w:r w:rsidR="00962F93" w:rsidRPr="00EA0EA9">
        <w:rPr>
          <w:rFonts w:eastAsia="Times New Roman"/>
          <w:color w:val="0000FF"/>
          <w:sz w:val="32"/>
          <w:lang w:eastAsia="en-GB"/>
        </w:rPr>
        <w:t>Findings and Recommendations</w:t>
      </w:r>
      <w:bookmarkEnd w:id="31"/>
    </w:p>
    <w:p w14:paraId="3AE61C37" w14:textId="77777777" w:rsidR="00D00E46" w:rsidRPr="00EA0EA9" w:rsidRDefault="00D43C67" w:rsidP="00AA4AD1">
      <w:pPr>
        <w:pStyle w:val="Heading2"/>
        <w:numPr>
          <w:ilvl w:val="1"/>
          <w:numId w:val="75"/>
        </w:numPr>
        <w:jc w:val="both"/>
        <w:rPr>
          <w:i/>
          <w:color w:val="CC0000"/>
          <w:sz w:val="28"/>
        </w:rPr>
      </w:pPr>
      <w:bookmarkStart w:id="32" w:name="_Toc476983590"/>
      <w:r w:rsidRPr="00EA0EA9">
        <w:rPr>
          <w:i/>
          <w:color w:val="CC0000"/>
          <w:sz w:val="28"/>
        </w:rPr>
        <w:t>Child Rights in the Constitution of South Africa</w:t>
      </w:r>
      <w:bookmarkEnd w:id="32"/>
    </w:p>
    <w:p w14:paraId="28D53656" w14:textId="427DC016" w:rsidR="000E4213" w:rsidRPr="00EA0EA9" w:rsidRDefault="00AC7BD0" w:rsidP="00747B8D">
      <w:pPr>
        <w:spacing w:line="276" w:lineRule="auto"/>
        <w:jc w:val="both"/>
        <w:rPr>
          <w:rFonts w:asciiTheme="majorHAnsi" w:hAnsiTheme="majorHAnsi"/>
        </w:rPr>
      </w:pPr>
      <w:r w:rsidRPr="00EA0EA9">
        <w:rPr>
          <w:rFonts w:asciiTheme="majorHAnsi" w:hAnsiTheme="majorHAnsi"/>
        </w:rPr>
        <w:t>Although the South African Constitution protects children’s rights, children continued to experience high levels of violence across multiple settings.</w:t>
      </w:r>
      <w:r w:rsidR="00F7106A">
        <w:rPr>
          <w:rFonts w:asciiTheme="majorHAnsi" w:hAnsiTheme="majorHAnsi"/>
        </w:rPr>
        <w:t xml:space="preserve"> </w:t>
      </w:r>
      <w:r w:rsidR="000E4213" w:rsidRPr="00EA0EA9">
        <w:rPr>
          <w:rFonts w:asciiTheme="majorHAnsi" w:hAnsiTheme="majorHAnsi"/>
        </w:rPr>
        <w:t>It is imperative to find innovative ways to protect children from violence and to build children’s resilience so they are able to recover from negative experiences</w:t>
      </w:r>
      <w:r w:rsidR="00F7106A">
        <w:rPr>
          <w:rFonts w:asciiTheme="majorHAnsi" w:hAnsiTheme="majorHAnsi"/>
        </w:rPr>
        <w:t xml:space="preserve">. </w:t>
      </w:r>
      <w:r w:rsidR="000E4213" w:rsidRPr="00EA0EA9">
        <w:rPr>
          <w:rFonts w:asciiTheme="majorHAnsi" w:hAnsiTheme="majorHAnsi"/>
        </w:rPr>
        <w:t xml:space="preserve">It is vital for South Africa to continue to monitor the status of children, identifying critical gaps and opportunities to strengthen policy and programmes. </w:t>
      </w:r>
    </w:p>
    <w:p w14:paraId="1692383E" w14:textId="77777777" w:rsidR="00D00E46" w:rsidRPr="00EA0EA9" w:rsidRDefault="00D00E46" w:rsidP="00AA4AD1">
      <w:pPr>
        <w:pStyle w:val="Heading2"/>
        <w:numPr>
          <w:ilvl w:val="1"/>
          <w:numId w:val="75"/>
        </w:numPr>
        <w:jc w:val="both"/>
        <w:rPr>
          <w:i/>
          <w:color w:val="CC0000"/>
          <w:sz w:val="28"/>
        </w:rPr>
      </w:pPr>
      <w:bookmarkStart w:id="33" w:name="_Toc476983591"/>
      <w:r w:rsidRPr="00EA0EA9">
        <w:rPr>
          <w:i/>
          <w:color w:val="CC0000"/>
          <w:sz w:val="28"/>
        </w:rPr>
        <w:t>Child Support Grants</w:t>
      </w:r>
      <w:bookmarkEnd w:id="33"/>
    </w:p>
    <w:p w14:paraId="02846271" w14:textId="41B38579" w:rsidR="000E4213" w:rsidRPr="00EA0EA9" w:rsidRDefault="00C63760" w:rsidP="00747B8D">
      <w:pPr>
        <w:spacing w:line="276" w:lineRule="auto"/>
        <w:jc w:val="both"/>
        <w:rPr>
          <w:rFonts w:asciiTheme="majorHAnsi" w:hAnsiTheme="majorHAnsi"/>
        </w:rPr>
      </w:pPr>
      <w:r w:rsidRPr="00EA0EA9">
        <w:rPr>
          <w:rFonts w:asciiTheme="majorHAnsi" w:hAnsiTheme="majorHAnsi"/>
        </w:rPr>
        <w:t>As is</w:t>
      </w:r>
      <w:r w:rsidR="000E4213" w:rsidRPr="00EA0EA9">
        <w:rPr>
          <w:rFonts w:asciiTheme="majorHAnsi" w:hAnsiTheme="majorHAnsi"/>
        </w:rPr>
        <w:t xml:space="preserve"> explained below</w:t>
      </w:r>
      <w:r w:rsidRPr="00EA0EA9">
        <w:rPr>
          <w:rFonts w:asciiTheme="majorHAnsi" w:hAnsiTheme="majorHAnsi"/>
        </w:rPr>
        <w:t xml:space="preserve">, one of </w:t>
      </w:r>
      <w:r w:rsidR="000E4213" w:rsidRPr="00EA0EA9">
        <w:rPr>
          <w:rFonts w:asciiTheme="majorHAnsi" w:hAnsiTheme="majorHAnsi"/>
        </w:rPr>
        <w:t>South Africa’s big success is the expansion of social grants, in particular</w:t>
      </w:r>
      <w:r w:rsidR="00795B75">
        <w:rPr>
          <w:rFonts w:asciiTheme="majorHAnsi" w:hAnsiTheme="majorHAnsi"/>
        </w:rPr>
        <w:t>,</w:t>
      </w:r>
      <w:r w:rsidR="000E4213" w:rsidRPr="00EA0EA9">
        <w:rPr>
          <w:rFonts w:asciiTheme="majorHAnsi" w:hAnsiTheme="majorHAnsi"/>
        </w:rPr>
        <w:t xml:space="preserve"> the child support grant. In 2005, five million children were receiving the C</w:t>
      </w:r>
      <w:r w:rsidRPr="00EA0EA9">
        <w:rPr>
          <w:rFonts w:asciiTheme="majorHAnsi" w:hAnsiTheme="majorHAnsi"/>
        </w:rPr>
        <w:t xml:space="preserve">hild </w:t>
      </w:r>
      <w:r w:rsidR="000E4213" w:rsidRPr="00EA0EA9">
        <w:rPr>
          <w:rFonts w:asciiTheme="majorHAnsi" w:hAnsiTheme="majorHAnsi"/>
        </w:rPr>
        <w:t>S</w:t>
      </w:r>
      <w:r w:rsidRPr="00EA0EA9">
        <w:rPr>
          <w:rFonts w:asciiTheme="majorHAnsi" w:hAnsiTheme="majorHAnsi"/>
        </w:rPr>
        <w:t xml:space="preserve">upport </w:t>
      </w:r>
      <w:r w:rsidR="000E4213" w:rsidRPr="00EA0EA9">
        <w:rPr>
          <w:rFonts w:asciiTheme="majorHAnsi" w:hAnsiTheme="majorHAnsi"/>
        </w:rPr>
        <w:t>G</w:t>
      </w:r>
      <w:r w:rsidRPr="00EA0EA9">
        <w:rPr>
          <w:rFonts w:asciiTheme="majorHAnsi" w:hAnsiTheme="majorHAnsi"/>
        </w:rPr>
        <w:t>rant (CSG)</w:t>
      </w:r>
      <w:r w:rsidR="000E4213" w:rsidRPr="00EA0EA9">
        <w:rPr>
          <w:rFonts w:asciiTheme="majorHAnsi" w:hAnsiTheme="majorHAnsi"/>
        </w:rPr>
        <w:t>, and it was only available to children up to the age of fourteen. By 2016</w:t>
      </w:r>
      <w:r w:rsidR="00D00E46" w:rsidRPr="00EA0EA9">
        <w:rPr>
          <w:rFonts w:asciiTheme="majorHAnsi" w:hAnsiTheme="majorHAnsi"/>
        </w:rPr>
        <w:t>,</w:t>
      </w:r>
      <w:r w:rsidR="000E4213" w:rsidRPr="00EA0EA9">
        <w:rPr>
          <w:rFonts w:asciiTheme="majorHAnsi" w:hAnsiTheme="majorHAnsi"/>
        </w:rPr>
        <w:t xml:space="preserve"> the CSG </w:t>
      </w:r>
      <w:r w:rsidR="00D00E46" w:rsidRPr="00EA0EA9">
        <w:rPr>
          <w:rFonts w:asciiTheme="majorHAnsi" w:hAnsiTheme="majorHAnsi"/>
        </w:rPr>
        <w:t xml:space="preserve">was available to all children, </w:t>
      </w:r>
      <w:r w:rsidR="000E4213" w:rsidRPr="00EA0EA9">
        <w:rPr>
          <w:rFonts w:asciiTheme="majorHAnsi" w:hAnsiTheme="majorHAnsi"/>
        </w:rPr>
        <w:t>children being constitutionally defined as under</w:t>
      </w:r>
      <w:r w:rsidR="00D00E46" w:rsidRPr="00EA0EA9">
        <w:rPr>
          <w:rFonts w:asciiTheme="majorHAnsi" w:hAnsiTheme="majorHAnsi"/>
        </w:rPr>
        <w:t>-</w:t>
      </w:r>
      <w:r w:rsidR="000E4213" w:rsidRPr="00EA0EA9">
        <w:rPr>
          <w:rFonts w:asciiTheme="majorHAnsi" w:hAnsiTheme="majorHAnsi"/>
        </w:rPr>
        <w:t>18</w:t>
      </w:r>
      <w:r w:rsidR="00D00E46" w:rsidRPr="00EA0EA9">
        <w:rPr>
          <w:rFonts w:asciiTheme="majorHAnsi" w:hAnsiTheme="majorHAnsi"/>
        </w:rPr>
        <w:t>;</w:t>
      </w:r>
      <w:r w:rsidR="000E4213" w:rsidRPr="00EA0EA9">
        <w:rPr>
          <w:rFonts w:asciiTheme="majorHAnsi" w:hAnsiTheme="majorHAnsi"/>
        </w:rPr>
        <w:t xml:space="preserve"> and it now reaches nearly 12 million every month. Although a potential difficulty lies in the sustainability of grants given the sluggish performance of the South African economy, the outcomes to date have been positive.</w:t>
      </w:r>
      <w:r w:rsidR="00795B75">
        <w:rPr>
          <w:rFonts w:asciiTheme="majorHAnsi" w:hAnsiTheme="majorHAnsi"/>
        </w:rPr>
        <w:t xml:space="preserve"> </w:t>
      </w:r>
      <w:r w:rsidR="000E4213" w:rsidRPr="00EA0EA9">
        <w:rPr>
          <w:rFonts w:asciiTheme="majorHAnsi" w:hAnsiTheme="majorHAnsi"/>
        </w:rPr>
        <w:t>The effects of the gran</w:t>
      </w:r>
      <w:r w:rsidR="001553BD" w:rsidRPr="00EA0EA9">
        <w:rPr>
          <w:rFonts w:asciiTheme="majorHAnsi" w:hAnsiTheme="majorHAnsi"/>
        </w:rPr>
        <w:t>t confirmed in multiple studies</w:t>
      </w:r>
      <w:r w:rsidR="000E4213" w:rsidRPr="00EA0EA9">
        <w:rPr>
          <w:rFonts w:asciiTheme="majorHAnsi" w:hAnsiTheme="majorHAnsi"/>
        </w:rPr>
        <w:t xml:space="preserve"> include the following: children who receive grants, or even those who live in households where others receive grants, have better health and nutritional outcomes when controlling for other variables, and they tend to do better at school. CSG are also associated with less risky behaviour among teenagers. Child poverty rates have dropped over the last decade, although they remain relatively high.</w:t>
      </w:r>
    </w:p>
    <w:p w14:paraId="2BC13A35" w14:textId="77777777" w:rsidR="001553BD" w:rsidRPr="00EA0EA9" w:rsidRDefault="001553BD" w:rsidP="00747B8D">
      <w:pPr>
        <w:spacing w:line="276" w:lineRule="auto"/>
        <w:jc w:val="both"/>
        <w:rPr>
          <w:rFonts w:asciiTheme="majorHAnsi" w:hAnsiTheme="majorHAnsi"/>
        </w:rPr>
      </w:pPr>
    </w:p>
    <w:p w14:paraId="2EE2BCBA" w14:textId="0BB95EF9" w:rsidR="000E4213" w:rsidRPr="00EA0EA9" w:rsidRDefault="000E4213" w:rsidP="00747B8D">
      <w:pPr>
        <w:spacing w:line="276" w:lineRule="auto"/>
        <w:jc w:val="both"/>
        <w:rPr>
          <w:rFonts w:asciiTheme="majorHAnsi" w:hAnsiTheme="majorHAnsi"/>
        </w:rPr>
      </w:pPr>
      <w:r w:rsidRPr="00EA0EA9">
        <w:rPr>
          <w:rFonts w:asciiTheme="majorHAnsi" w:hAnsiTheme="majorHAnsi"/>
        </w:rPr>
        <w:lastRenderedPageBreak/>
        <w:t>Another improvement for South Africa’s children lies in the decreasing number of orphans. In the 2000s, the number of maternally orphaned children rose steadily, reaching a high of 1.6 million in 2009.</w:t>
      </w:r>
      <w:r w:rsidR="000957CA">
        <w:rPr>
          <w:rFonts w:asciiTheme="majorHAnsi" w:hAnsiTheme="majorHAnsi"/>
        </w:rPr>
        <w:t xml:space="preserve"> </w:t>
      </w:r>
      <w:r w:rsidRPr="00EA0EA9">
        <w:rPr>
          <w:rFonts w:asciiTheme="majorHAnsi" w:hAnsiTheme="majorHAnsi"/>
        </w:rPr>
        <w:t xml:space="preserve">This may have been due to HIV-related maternal deaths and the failure to roll out an efficient </w:t>
      </w:r>
      <w:r w:rsidR="004A1C7E" w:rsidRPr="00EA0EA9">
        <w:rPr>
          <w:rFonts w:asciiTheme="majorHAnsi" w:hAnsiTheme="majorHAnsi"/>
        </w:rPr>
        <w:t xml:space="preserve">antiretroviral </w:t>
      </w:r>
      <w:r w:rsidRPr="00EA0EA9">
        <w:rPr>
          <w:rFonts w:asciiTheme="majorHAnsi" w:hAnsiTheme="majorHAnsi"/>
        </w:rPr>
        <w:t>programme. Since 2009, maternal orphaning rates have dropped substantially – much faster than those predicted by the modelled estimates – and are now around the 2005 figures, at 1.2 million. Orphaning rates are expected to continue falling, owing to recently-announced eligibility criteria for enrolment into HAART.</w:t>
      </w:r>
    </w:p>
    <w:p w14:paraId="4B6F0243" w14:textId="77777777" w:rsidR="005337ED" w:rsidRPr="00EA0EA9" w:rsidRDefault="005337ED" w:rsidP="00AA4AD1">
      <w:pPr>
        <w:pStyle w:val="Heading2"/>
        <w:numPr>
          <w:ilvl w:val="1"/>
          <w:numId w:val="75"/>
        </w:numPr>
        <w:rPr>
          <w:i/>
          <w:color w:val="CC0000"/>
          <w:sz w:val="28"/>
        </w:rPr>
      </w:pPr>
      <w:bookmarkStart w:id="34" w:name="_Toc476983592"/>
      <w:r w:rsidRPr="00EA0EA9">
        <w:rPr>
          <w:i/>
          <w:color w:val="CC0000"/>
          <w:sz w:val="28"/>
        </w:rPr>
        <w:t xml:space="preserve">United Nations </w:t>
      </w:r>
      <w:r w:rsidR="00A1537C" w:rsidRPr="00EA0EA9">
        <w:rPr>
          <w:i/>
          <w:color w:val="CC0000"/>
          <w:sz w:val="28"/>
        </w:rPr>
        <w:t>Committee</w:t>
      </w:r>
      <w:r w:rsidRPr="00EA0EA9">
        <w:rPr>
          <w:i/>
          <w:color w:val="CC0000"/>
          <w:sz w:val="28"/>
        </w:rPr>
        <w:t xml:space="preserve"> on the Rights of the Child Report</w:t>
      </w:r>
      <w:bookmarkEnd w:id="34"/>
    </w:p>
    <w:p w14:paraId="05C7F1E9" w14:textId="50BA452E" w:rsidR="000E4213" w:rsidRPr="00EA0EA9" w:rsidRDefault="000E4213" w:rsidP="00747B8D">
      <w:pPr>
        <w:spacing w:line="276" w:lineRule="auto"/>
        <w:jc w:val="both"/>
        <w:rPr>
          <w:rFonts w:asciiTheme="majorHAnsi" w:hAnsiTheme="majorHAnsi"/>
        </w:rPr>
      </w:pPr>
      <w:r w:rsidRPr="00EA0EA9">
        <w:rPr>
          <w:rFonts w:asciiTheme="majorHAnsi" w:hAnsiTheme="majorHAnsi"/>
        </w:rPr>
        <w:t>In response to the 2016 South African government report,</w:t>
      </w:r>
      <w:r w:rsidR="003C2592">
        <w:rPr>
          <w:rFonts w:asciiTheme="majorHAnsi" w:hAnsiTheme="majorHAnsi"/>
        </w:rPr>
        <w:t xml:space="preserve"> </w:t>
      </w:r>
      <w:r w:rsidRPr="00EA0EA9">
        <w:rPr>
          <w:rFonts w:asciiTheme="majorHAnsi" w:hAnsiTheme="majorHAnsi"/>
        </w:rPr>
        <w:t>the United Nations Committee on the Rights of the Child issued a comprehensive set of recommendations to the Government of South Africa requisite to strengthen the realisation of child rights in the country. The Committee recognised and acknowledged follow-up measures undertaken and the significant progress that South Africa has made to improve children’s lives in areas such as early childhood development, the child support grant and the reduction in child mortality. The Committee welcomed the progress achieved by South Africa in various areas, including the ratification of or accession to international instruments, in particular</w:t>
      </w:r>
      <w:r w:rsidR="007B5D56">
        <w:rPr>
          <w:rFonts w:asciiTheme="majorHAnsi" w:hAnsiTheme="majorHAnsi"/>
        </w:rPr>
        <w:t>,</w:t>
      </w:r>
      <w:r w:rsidRPr="00EA0EA9">
        <w:rPr>
          <w:rFonts w:asciiTheme="majorHAnsi" w:hAnsiTheme="majorHAnsi"/>
        </w:rPr>
        <w:t xml:space="preserve"> the ratification of the Optional Protocol to the Convention on the Rights of the Child on the involvement of children in armed conflict in 2009 and the Optional Protocol to the Convention on the Rights of the Child on the sale of children, child prostitution and child pornography in 2003. The Committee also welcomed the adoption of a number of new legislative acts and institutional and policy measures related to children’s rights since its last review, including the Children’s Act 38 of 2005 and the Child Justice Act 75 of 2008, which are largely in line with the Convention. The Committee also welcomed the progressive application of the rights and principles stipulated in the Convention by the judiciary in South African jurisprudence, the overall reduction of infant and child mortality and mother-to-child transmission of HIV/AIDS, the increase in birth registration, as well as efforts made to develop a strong legal and policy framework to combat violence. </w:t>
      </w:r>
      <w:r w:rsidR="00DB6E35" w:rsidRPr="00EA0EA9">
        <w:rPr>
          <w:rFonts w:asciiTheme="majorHAnsi" w:hAnsiTheme="majorHAnsi"/>
        </w:rPr>
        <w:t>In our research</w:t>
      </w:r>
      <w:r w:rsidR="00FB3462">
        <w:rPr>
          <w:rFonts w:asciiTheme="majorHAnsi" w:hAnsiTheme="majorHAnsi"/>
        </w:rPr>
        <w:t>,</w:t>
      </w:r>
      <w:r w:rsidR="00DB6E35" w:rsidRPr="00EA0EA9">
        <w:rPr>
          <w:rFonts w:asciiTheme="majorHAnsi" w:hAnsiTheme="majorHAnsi"/>
        </w:rPr>
        <w:t xml:space="preserve"> we found several recommendations of the Committee compelling as they resonated with our own research. Below we have listed issues and areas where we think that the government</w:t>
      </w:r>
      <w:r w:rsidR="00FB3462">
        <w:rPr>
          <w:rFonts w:asciiTheme="majorHAnsi" w:hAnsiTheme="majorHAnsi"/>
        </w:rPr>
        <w:t xml:space="preserve"> </w:t>
      </w:r>
      <w:r w:rsidR="00DB6E35" w:rsidRPr="00EA0EA9">
        <w:rPr>
          <w:rFonts w:asciiTheme="majorHAnsi" w:hAnsiTheme="majorHAnsi"/>
        </w:rPr>
        <w:t xml:space="preserve">of South Africa can do to further improve on the </w:t>
      </w:r>
      <w:proofErr w:type="gramStart"/>
      <w:r w:rsidR="00DB6E35" w:rsidRPr="00EA0EA9">
        <w:rPr>
          <w:rFonts w:asciiTheme="majorHAnsi" w:hAnsiTheme="majorHAnsi"/>
        </w:rPr>
        <w:t>progress</w:t>
      </w:r>
      <w:proofErr w:type="gramEnd"/>
      <w:r w:rsidR="00DB6E35" w:rsidRPr="00EA0EA9">
        <w:rPr>
          <w:rFonts w:asciiTheme="majorHAnsi" w:hAnsiTheme="majorHAnsi"/>
        </w:rPr>
        <w:t xml:space="preserve"> they have already made in terms of child rights.</w:t>
      </w:r>
    </w:p>
    <w:p w14:paraId="62983635" w14:textId="77777777" w:rsidR="000E4213" w:rsidRPr="00EA0EA9" w:rsidRDefault="000E4213" w:rsidP="00747B8D">
      <w:pPr>
        <w:spacing w:line="276" w:lineRule="auto"/>
        <w:jc w:val="both"/>
        <w:rPr>
          <w:rFonts w:asciiTheme="majorHAnsi" w:hAnsiTheme="majorHAnsi"/>
        </w:rPr>
      </w:pPr>
    </w:p>
    <w:p w14:paraId="046482CC" w14:textId="77777777" w:rsidR="000E4213" w:rsidRPr="00EA0EA9" w:rsidRDefault="000E4213" w:rsidP="00AA4AD1">
      <w:pPr>
        <w:pStyle w:val="ListParagraph"/>
        <w:numPr>
          <w:ilvl w:val="2"/>
          <w:numId w:val="75"/>
        </w:numPr>
        <w:spacing w:line="276" w:lineRule="auto"/>
        <w:jc w:val="both"/>
        <w:rPr>
          <w:rFonts w:asciiTheme="majorHAnsi" w:hAnsiTheme="majorHAnsi"/>
          <w:b/>
          <w:i/>
          <w:sz w:val="28"/>
        </w:rPr>
      </w:pPr>
      <w:r w:rsidRPr="00EA0EA9">
        <w:rPr>
          <w:rFonts w:asciiTheme="majorHAnsi" w:hAnsiTheme="majorHAnsi"/>
          <w:b/>
          <w:i/>
          <w:sz w:val="28"/>
        </w:rPr>
        <w:t xml:space="preserve">Main </w:t>
      </w:r>
      <w:r w:rsidR="00DB6E35" w:rsidRPr="00EA0EA9">
        <w:rPr>
          <w:rFonts w:asciiTheme="majorHAnsi" w:hAnsiTheme="majorHAnsi"/>
          <w:b/>
          <w:i/>
          <w:sz w:val="28"/>
        </w:rPr>
        <w:t>Issues and</w:t>
      </w:r>
      <w:r w:rsidRPr="00EA0EA9">
        <w:rPr>
          <w:rFonts w:asciiTheme="majorHAnsi" w:hAnsiTheme="majorHAnsi"/>
          <w:b/>
          <w:i/>
          <w:sz w:val="28"/>
        </w:rPr>
        <w:t xml:space="preserve"> recommendations </w:t>
      </w:r>
    </w:p>
    <w:p w14:paraId="1EFA8309" w14:textId="21904482" w:rsidR="000E4213" w:rsidRPr="00EA0EA9" w:rsidRDefault="000E4213" w:rsidP="00747B8D">
      <w:pPr>
        <w:spacing w:line="276" w:lineRule="auto"/>
        <w:jc w:val="both"/>
        <w:rPr>
          <w:rFonts w:asciiTheme="majorHAnsi" w:hAnsiTheme="majorHAnsi"/>
        </w:rPr>
      </w:pPr>
      <w:r w:rsidRPr="00EA0EA9">
        <w:rPr>
          <w:rFonts w:asciiTheme="majorHAnsi" w:hAnsiTheme="majorHAnsi"/>
        </w:rPr>
        <w:t>The</w:t>
      </w:r>
      <w:r w:rsidR="00171169">
        <w:rPr>
          <w:rFonts w:asciiTheme="majorHAnsi" w:hAnsiTheme="majorHAnsi"/>
        </w:rPr>
        <w:t xml:space="preserve"> </w:t>
      </w:r>
      <w:r w:rsidRPr="00EA0EA9">
        <w:rPr>
          <w:rFonts w:asciiTheme="majorHAnsi" w:hAnsiTheme="majorHAnsi"/>
        </w:rPr>
        <w:t>recommendations</w:t>
      </w:r>
      <w:r w:rsidR="00DB6E35" w:rsidRPr="00EA0EA9">
        <w:rPr>
          <w:rFonts w:asciiTheme="majorHAnsi" w:hAnsiTheme="majorHAnsi"/>
        </w:rPr>
        <w:t xml:space="preserve"> below</w:t>
      </w:r>
      <w:r w:rsidRPr="00EA0EA9">
        <w:rPr>
          <w:rFonts w:asciiTheme="majorHAnsi" w:hAnsiTheme="majorHAnsi"/>
        </w:rPr>
        <w:t xml:space="preserve"> focus extensively on main areas of concern, systemic challenges and critical areas that require further attention and</w:t>
      </w:r>
      <w:r w:rsidR="00171169">
        <w:rPr>
          <w:rFonts w:asciiTheme="majorHAnsi" w:hAnsiTheme="majorHAnsi"/>
        </w:rPr>
        <w:t xml:space="preserve"> </w:t>
      </w:r>
      <w:r w:rsidRPr="00EA0EA9">
        <w:rPr>
          <w:rFonts w:asciiTheme="majorHAnsi" w:hAnsiTheme="majorHAnsi"/>
        </w:rPr>
        <w:t xml:space="preserve">action. The following are </w:t>
      </w:r>
      <w:r w:rsidR="00DB6E35" w:rsidRPr="00EA0EA9">
        <w:rPr>
          <w:rFonts w:asciiTheme="majorHAnsi" w:hAnsiTheme="majorHAnsi"/>
        </w:rPr>
        <w:t>our</w:t>
      </w:r>
      <w:r w:rsidRPr="00EA0EA9">
        <w:rPr>
          <w:rFonts w:asciiTheme="majorHAnsi" w:hAnsiTheme="majorHAnsi"/>
        </w:rPr>
        <w:t xml:space="preserve"> recommendations</w:t>
      </w:r>
      <w:r w:rsidR="00DB6E35" w:rsidRPr="00EA0EA9">
        <w:rPr>
          <w:rFonts w:asciiTheme="majorHAnsi" w:hAnsiTheme="majorHAnsi"/>
        </w:rPr>
        <w:t xml:space="preserve"> to the South African government</w:t>
      </w:r>
      <w:r w:rsidRPr="00EA0EA9">
        <w:rPr>
          <w:rFonts w:asciiTheme="majorHAnsi" w:hAnsiTheme="majorHAnsi"/>
        </w:rPr>
        <w:t>:</w:t>
      </w:r>
    </w:p>
    <w:p w14:paraId="0B81A938" w14:textId="77777777" w:rsidR="000E4213" w:rsidRPr="00EA0EA9" w:rsidRDefault="000E4213" w:rsidP="00352B52">
      <w:pPr>
        <w:pStyle w:val="ListParagraph"/>
        <w:numPr>
          <w:ilvl w:val="0"/>
          <w:numId w:val="54"/>
        </w:numPr>
        <w:spacing w:line="276" w:lineRule="auto"/>
        <w:jc w:val="both"/>
        <w:rPr>
          <w:rFonts w:asciiTheme="majorHAnsi" w:hAnsiTheme="majorHAnsi"/>
        </w:rPr>
      </w:pPr>
      <w:r w:rsidRPr="00EA0EA9">
        <w:rPr>
          <w:rFonts w:asciiTheme="majorHAnsi" w:hAnsiTheme="majorHAnsi"/>
        </w:rPr>
        <w:t>Improved governance on children’s rights overall</w:t>
      </w:r>
      <w:r w:rsidR="00DB6E35" w:rsidRPr="00EA0EA9">
        <w:rPr>
          <w:rFonts w:asciiTheme="majorHAnsi" w:hAnsiTheme="majorHAnsi"/>
        </w:rPr>
        <w:t>, which entails the</w:t>
      </w:r>
      <w:r w:rsidR="006252B2" w:rsidRPr="00EA0EA9">
        <w:rPr>
          <w:rFonts w:asciiTheme="majorHAnsi" w:hAnsiTheme="majorHAnsi"/>
        </w:rPr>
        <w:t xml:space="preserve"> </w:t>
      </w:r>
      <w:r w:rsidRPr="00EA0EA9">
        <w:rPr>
          <w:rFonts w:asciiTheme="majorHAnsi" w:hAnsiTheme="majorHAnsi"/>
        </w:rPr>
        <w:t>establish</w:t>
      </w:r>
      <w:r w:rsidR="00DB6E35" w:rsidRPr="00EA0EA9">
        <w:rPr>
          <w:rFonts w:asciiTheme="majorHAnsi" w:hAnsiTheme="majorHAnsi"/>
        </w:rPr>
        <w:t>ment and financing</w:t>
      </w:r>
      <w:r w:rsidRPr="00EA0EA9">
        <w:rPr>
          <w:rFonts w:asciiTheme="majorHAnsi" w:hAnsiTheme="majorHAnsi"/>
        </w:rPr>
        <w:t xml:space="preserve"> inter-ministerial level leadership and coo</w:t>
      </w:r>
      <w:r w:rsidR="00B323E3" w:rsidRPr="00EA0EA9">
        <w:rPr>
          <w:rFonts w:asciiTheme="majorHAnsi" w:hAnsiTheme="majorHAnsi"/>
        </w:rPr>
        <w:t>rdination on children’s rights;</w:t>
      </w:r>
    </w:p>
    <w:p w14:paraId="08457E9F" w14:textId="037219F4" w:rsidR="000E4213" w:rsidRPr="00EA0EA9" w:rsidRDefault="000E4213" w:rsidP="00352B52">
      <w:pPr>
        <w:pStyle w:val="ListParagraph"/>
        <w:numPr>
          <w:ilvl w:val="0"/>
          <w:numId w:val="54"/>
        </w:numPr>
        <w:spacing w:line="276" w:lineRule="auto"/>
        <w:jc w:val="both"/>
        <w:rPr>
          <w:rFonts w:asciiTheme="majorHAnsi" w:hAnsiTheme="majorHAnsi"/>
        </w:rPr>
      </w:pPr>
      <w:r w:rsidRPr="00EA0EA9">
        <w:rPr>
          <w:rFonts w:asciiTheme="majorHAnsi" w:hAnsiTheme="majorHAnsi"/>
        </w:rPr>
        <w:t>Strengthen</w:t>
      </w:r>
      <w:r w:rsidR="00DB6E35" w:rsidRPr="00EA0EA9">
        <w:rPr>
          <w:rFonts w:asciiTheme="majorHAnsi" w:hAnsiTheme="majorHAnsi"/>
        </w:rPr>
        <w:t>ing</w:t>
      </w:r>
      <w:r w:rsidRPr="00EA0EA9">
        <w:rPr>
          <w:rFonts w:asciiTheme="majorHAnsi" w:hAnsiTheme="majorHAnsi"/>
        </w:rPr>
        <w:t xml:space="preserve"> the</w:t>
      </w:r>
      <w:r w:rsidR="00DB6E35" w:rsidRPr="00EA0EA9">
        <w:rPr>
          <w:rFonts w:asciiTheme="majorHAnsi" w:hAnsiTheme="majorHAnsi"/>
        </w:rPr>
        <w:t xml:space="preserve"> existing</w:t>
      </w:r>
      <w:r w:rsidRPr="00EA0EA9">
        <w:rPr>
          <w:rFonts w:asciiTheme="majorHAnsi" w:hAnsiTheme="majorHAnsi"/>
        </w:rPr>
        <w:t xml:space="preserve"> independent ove</w:t>
      </w:r>
      <w:r w:rsidR="000F652E">
        <w:rPr>
          <w:rFonts w:asciiTheme="majorHAnsi" w:hAnsiTheme="majorHAnsi"/>
        </w:rPr>
        <w:t>rsight mechanisms</w:t>
      </w:r>
      <w:r w:rsidR="00B323E3" w:rsidRPr="00EA0EA9">
        <w:rPr>
          <w:rFonts w:asciiTheme="majorHAnsi" w:hAnsiTheme="majorHAnsi"/>
        </w:rPr>
        <w:t>;</w:t>
      </w:r>
    </w:p>
    <w:p w14:paraId="6D1752DB" w14:textId="77777777" w:rsidR="000E4213" w:rsidRPr="00EA0EA9" w:rsidRDefault="000E4213" w:rsidP="00352B52">
      <w:pPr>
        <w:pStyle w:val="ListParagraph"/>
        <w:numPr>
          <w:ilvl w:val="0"/>
          <w:numId w:val="54"/>
        </w:numPr>
        <w:spacing w:line="276" w:lineRule="auto"/>
        <w:jc w:val="both"/>
        <w:rPr>
          <w:rFonts w:asciiTheme="majorHAnsi" w:hAnsiTheme="majorHAnsi"/>
        </w:rPr>
      </w:pPr>
      <w:r w:rsidRPr="00EA0EA9">
        <w:rPr>
          <w:rFonts w:asciiTheme="majorHAnsi" w:hAnsiTheme="majorHAnsi"/>
        </w:rPr>
        <w:lastRenderedPageBreak/>
        <w:t>Planned and effective child rights budgeting, so that laws, policies and plans can be implemented in a manner that positive</w:t>
      </w:r>
      <w:r w:rsidR="00B323E3" w:rsidRPr="00EA0EA9">
        <w:rPr>
          <w:rFonts w:asciiTheme="majorHAnsi" w:hAnsiTheme="majorHAnsi"/>
        </w:rPr>
        <w:t>ly impacts on children’s lives;</w:t>
      </w:r>
    </w:p>
    <w:p w14:paraId="32D28522" w14:textId="77777777" w:rsidR="000E4213" w:rsidRPr="00EA0EA9" w:rsidRDefault="000E4213" w:rsidP="00352B52">
      <w:pPr>
        <w:pStyle w:val="ListParagraph"/>
        <w:numPr>
          <w:ilvl w:val="0"/>
          <w:numId w:val="54"/>
        </w:numPr>
        <w:spacing w:line="276" w:lineRule="auto"/>
        <w:jc w:val="both"/>
        <w:rPr>
          <w:rFonts w:asciiTheme="majorHAnsi" w:hAnsiTheme="majorHAnsi"/>
        </w:rPr>
      </w:pPr>
      <w:r w:rsidRPr="00EA0EA9">
        <w:rPr>
          <w:rFonts w:asciiTheme="majorHAnsi" w:hAnsiTheme="majorHAnsi"/>
        </w:rPr>
        <w:t>Addressing the alarming rates of violence against children by improving measures for violence prevention, child pr</w:t>
      </w:r>
      <w:r w:rsidR="00B323E3" w:rsidRPr="00EA0EA9">
        <w:rPr>
          <w:rFonts w:asciiTheme="majorHAnsi" w:hAnsiTheme="majorHAnsi"/>
        </w:rPr>
        <w:t xml:space="preserve">otection and access to justice; </w:t>
      </w:r>
    </w:p>
    <w:p w14:paraId="514A40A4" w14:textId="77777777" w:rsidR="000E4213" w:rsidRPr="00EA0EA9" w:rsidRDefault="000E4213" w:rsidP="00352B52">
      <w:pPr>
        <w:pStyle w:val="ListParagraph"/>
        <w:numPr>
          <w:ilvl w:val="0"/>
          <w:numId w:val="54"/>
        </w:numPr>
        <w:spacing w:line="276" w:lineRule="auto"/>
        <w:jc w:val="both"/>
        <w:rPr>
          <w:rFonts w:asciiTheme="majorHAnsi" w:hAnsiTheme="majorHAnsi"/>
        </w:rPr>
      </w:pPr>
      <w:r w:rsidRPr="00EA0EA9">
        <w:rPr>
          <w:rFonts w:asciiTheme="majorHAnsi" w:hAnsiTheme="majorHAnsi"/>
        </w:rPr>
        <w:t>Increase equitable access to health rights, including improving access to adolescent health, and addressing the unacceptably high rates of chil</w:t>
      </w:r>
      <w:r w:rsidR="00B323E3" w:rsidRPr="00EA0EA9">
        <w:rPr>
          <w:rFonts w:asciiTheme="majorHAnsi" w:hAnsiTheme="majorHAnsi"/>
        </w:rPr>
        <w:t>d malnutrition in South Africa;</w:t>
      </w:r>
    </w:p>
    <w:p w14:paraId="289EC4DF" w14:textId="77777777" w:rsidR="000E4213" w:rsidRPr="00EA0EA9" w:rsidRDefault="000E4213" w:rsidP="00352B52">
      <w:pPr>
        <w:pStyle w:val="ListParagraph"/>
        <w:numPr>
          <w:ilvl w:val="0"/>
          <w:numId w:val="54"/>
        </w:numPr>
        <w:spacing w:line="276" w:lineRule="auto"/>
        <w:jc w:val="both"/>
        <w:rPr>
          <w:rFonts w:asciiTheme="majorHAnsi" w:hAnsiTheme="majorHAnsi"/>
        </w:rPr>
      </w:pPr>
      <w:r w:rsidRPr="00EA0EA9">
        <w:rPr>
          <w:rFonts w:asciiTheme="majorHAnsi" w:hAnsiTheme="majorHAnsi"/>
        </w:rPr>
        <w:t>Address the myriad rights violations against children with disabili</w:t>
      </w:r>
      <w:r w:rsidR="00B323E3" w:rsidRPr="00EA0EA9">
        <w:rPr>
          <w:rFonts w:asciiTheme="majorHAnsi" w:hAnsiTheme="majorHAnsi"/>
        </w:rPr>
        <w:t>ti</w:t>
      </w:r>
      <w:r w:rsidRPr="00EA0EA9">
        <w:rPr>
          <w:rFonts w:asciiTheme="majorHAnsi" w:hAnsiTheme="majorHAnsi"/>
        </w:rPr>
        <w:t xml:space="preserve">es and against migrant, refugee and </w:t>
      </w:r>
      <w:proofErr w:type="gramStart"/>
      <w:r w:rsidRPr="00EA0EA9">
        <w:rPr>
          <w:rFonts w:asciiTheme="majorHAnsi" w:hAnsiTheme="majorHAnsi"/>
        </w:rPr>
        <w:t>asylum seeking</w:t>
      </w:r>
      <w:proofErr w:type="gramEnd"/>
      <w:r w:rsidRPr="00EA0EA9">
        <w:rPr>
          <w:rFonts w:asciiTheme="majorHAnsi" w:hAnsiTheme="majorHAnsi"/>
        </w:rPr>
        <w:t xml:space="preserve"> children in South Africa in terms of access to education, healthcare and </w:t>
      </w:r>
      <w:r w:rsidR="00B323E3" w:rsidRPr="00EA0EA9">
        <w:rPr>
          <w:rFonts w:asciiTheme="majorHAnsi" w:hAnsiTheme="majorHAnsi"/>
        </w:rPr>
        <w:t>social security amongst others;</w:t>
      </w:r>
    </w:p>
    <w:p w14:paraId="6DF36B10" w14:textId="77777777" w:rsidR="000E4213" w:rsidRPr="00EA0EA9" w:rsidRDefault="000E4213" w:rsidP="00352B52">
      <w:pPr>
        <w:pStyle w:val="ListParagraph"/>
        <w:numPr>
          <w:ilvl w:val="0"/>
          <w:numId w:val="54"/>
        </w:numPr>
        <w:spacing w:line="276" w:lineRule="auto"/>
        <w:jc w:val="both"/>
        <w:rPr>
          <w:rFonts w:asciiTheme="majorHAnsi" w:hAnsiTheme="majorHAnsi"/>
        </w:rPr>
      </w:pPr>
      <w:r w:rsidRPr="00EA0EA9">
        <w:rPr>
          <w:rFonts w:asciiTheme="majorHAnsi" w:hAnsiTheme="majorHAnsi"/>
        </w:rPr>
        <w:t>Address</w:t>
      </w:r>
      <w:r w:rsidR="00E45F04" w:rsidRPr="00EA0EA9">
        <w:rPr>
          <w:rFonts w:asciiTheme="majorHAnsi" w:hAnsiTheme="majorHAnsi"/>
        </w:rPr>
        <w:t>ing</w:t>
      </w:r>
      <w:r w:rsidRPr="00EA0EA9">
        <w:rPr>
          <w:rFonts w:asciiTheme="majorHAnsi" w:hAnsiTheme="majorHAnsi"/>
        </w:rPr>
        <w:t xml:space="preserve"> and giv</w:t>
      </w:r>
      <w:r w:rsidR="00E45F04" w:rsidRPr="00EA0EA9">
        <w:rPr>
          <w:rFonts w:asciiTheme="majorHAnsi" w:hAnsiTheme="majorHAnsi"/>
        </w:rPr>
        <w:t>ing</w:t>
      </w:r>
      <w:r w:rsidRPr="00EA0EA9">
        <w:rPr>
          <w:rFonts w:asciiTheme="majorHAnsi" w:hAnsiTheme="majorHAnsi"/>
        </w:rPr>
        <w:t xml:space="preserve"> direction to the need for greater efficiency and a</w:t>
      </w:r>
      <w:r w:rsidR="00B323E3" w:rsidRPr="00EA0EA9">
        <w:rPr>
          <w:rFonts w:asciiTheme="majorHAnsi" w:hAnsiTheme="majorHAnsi"/>
        </w:rPr>
        <w:t>c</w:t>
      </w:r>
      <w:r w:rsidRPr="00EA0EA9">
        <w:rPr>
          <w:rFonts w:asciiTheme="majorHAnsi" w:hAnsiTheme="majorHAnsi"/>
        </w:rPr>
        <w:t>countability in expenditure in the education system to increase both equitable access and the quality of educatio</w:t>
      </w:r>
      <w:r w:rsidR="00B323E3" w:rsidRPr="00EA0EA9">
        <w:rPr>
          <w:rFonts w:asciiTheme="majorHAnsi" w:hAnsiTheme="majorHAnsi"/>
        </w:rPr>
        <w:t>n;</w:t>
      </w:r>
    </w:p>
    <w:p w14:paraId="2E5F2CAA" w14:textId="77777777" w:rsidR="00DB6E35" w:rsidRPr="00EA0EA9" w:rsidRDefault="000E4213" w:rsidP="00352B52">
      <w:pPr>
        <w:pStyle w:val="ListParagraph"/>
        <w:numPr>
          <w:ilvl w:val="0"/>
          <w:numId w:val="54"/>
        </w:numPr>
        <w:spacing w:line="276" w:lineRule="auto"/>
        <w:jc w:val="both"/>
        <w:rPr>
          <w:rFonts w:asciiTheme="majorHAnsi" w:hAnsiTheme="majorHAnsi"/>
        </w:rPr>
      </w:pPr>
      <w:r w:rsidRPr="00EA0EA9">
        <w:rPr>
          <w:rFonts w:asciiTheme="majorHAnsi" w:hAnsiTheme="majorHAnsi"/>
        </w:rPr>
        <w:t>Fix</w:t>
      </w:r>
      <w:r w:rsidR="00E45F04" w:rsidRPr="00EA0EA9">
        <w:rPr>
          <w:rFonts w:asciiTheme="majorHAnsi" w:hAnsiTheme="majorHAnsi"/>
        </w:rPr>
        <w:t>ing</w:t>
      </w:r>
      <w:r w:rsidRPr="00EA0EA9">
        <w:rPr>
          <w:rFonts w:asciiTheme="majorHAnsi" w:hAnsiTheme="majorHAnsi"/>
        </w:rPr>
        <w:t xml:space="preserve"> problems with birth registration processes that result in the most marginalised children not accessing services, and leaving</w:t>
      </w:r>
      <w:r w:rsidR="006252B2" w:rsidRPr="00EA0EA9">
        <w:rPr>
          <w:rFonts w:asciiTheme="majorHAnsi" w:hAnsiTheme="majorHAnsi"/>
        </w:rPr>
        <w:t xml:space="preserve"> some at risk of statelessness;</w:t>
      </w:r>
    </w:p>
    <w:p w14:paraId="1441464F" w14:textId="77777777" w:rsidR="000E4213" w:rsidRPr="00EA0EA9" w:rsidRDefault="00DB6E35" w:rsidP="00352B52">
      <w:pPr>
        <w:pStyle w:val="ListParagraph"/>
        <w:numPr>
          <w:ilvl w:val="0"/>
          <w:numId w:val="54"/>
        </w:numPr>
        <w:spacing w:line="276" w:lineRule="auto"/>
        <w:jc w:val="both"/>
        <w:rPr>
          <w:rFonts w:asciiTheme="majorHAnsi" w:hAnsiTheme="majorHAnsi"/>
        </w:rPr>
      </w:pPr>
      <w:r w:rsidRPr="00EA0EA9">
        <w:rPr>
          <w:rFonts w:asciiTheme="majorHAnsi" w:hAnsiTheme="majorHAnsi"/>
        </w:rPr>
        <w:t>C</w:t>
      </w:r>
      <w:r w:rsidR="000E4213" w:rsidRPr="00EA0EA9">
        <w:rPr>
          <w:rFonts w:asciiTheme="majorHAnsi" w:hAnsiTheme="majorHAnsi"/>
        </w:rPr>
        <w:t>onsider increasing the amount of the Child Support Grant to address the impact of pover</w:t>
      </w:r>
      <w:r w:rsidR="00B323E3" w:rsidRPr="00EA0EA9">
        <w:rPr>
          <w:rFonts w:asciiTheme="majorHAnsi" w:hAnsiTheme="majorHAnsi"/>
        </w:rPr>
        <w:t>ty on children in South Africa;</w:t>
      </w:r>
    </w:p>
    <w:p w14:paraId="2733024B" w14:textId="77777777" w:rsidR="000E4213" w:rsidRPr="00EA0EA9" w:rsidRDefault="000E4213" w:rsidP="00352B52">
      <w:pPr>
        <w:pStyle w:val="ListParagraph"/>
        <w:numPr>
          <w:ilvl w:val="0"/>
          <w:numId w:val="54"/>
        </w:numPr>
        <w:spacing w:line="276" w:lineRule="auto"/>
        <w:jc w:val="both"/>
        <w:rPr>
          <w:rFonts w:asciiTheme="majorHAnsi" w:hAnsiTheme="majorHAnsi"/>
        </w:rPr>
      </w:pPr>
      <w:r w:rsidRPr="00EA0EA9">
        <w:rPr>
          <w:rFonts w:asciiTheme="majorHAnsi" w:hAnsiTheme="majorHAnsi"/>
        </w:rPr>
        <w:t>Ensur</w:t>
      </w:r>
      <w:r w:rsidR="00E45F04" w:rsidRPr="00EA0EA9">
        <w:rPr>
          <w:rFonts w:asciiTheme="majorHAnsi" w:hAnsiTheme="majorHAnsi"/>
        </w:rPr>
        <w:t>e</w:t>
      </w:r>
      <w:r w:rsidR="0074626B" w:rsidRPr="00EA0EA9">
        <w:rPr>
          <w:rFonts w:asciiTheme="majorHAnsi" w:hAnsiTheme="majorHAnsi"/>
        </w:rPr>
        <w:t xml:space="preserve"> </w:t>
      </w:r>
      <w:r w:rsidR="00B323E3" w:rsidRPr="00EA0EA9">
        <w:rPr>
          <w:rFonts w:asciiTheme="majorHAnsi" w:hAnsiTheme="majorHAnsi"/>
        </w:rPr>
        <w:t>implementation</w:t>
      </w:r>
      <w:r w:rsidRPr="00EA0EA9">
        <w:rPr>
          <w:rFonts w:asciiTheme="majorHAnsi" w:hAnsiTheme="majorHAnsi"/>
        </w:rPr>
        <w:t xml:space="preserve"> of commitments implied and agreed to under the SDG’s in all areas pertaining to children’s rights.</w:t>
      </w:r>
    </w:p>
    <w:p w14:paraId="6AEBB68F" w14:textId="77777777" w:rsidR="0072156A" w:rsidRPr="00EA0EA9" w:rsidRDefault="0072156A" w:rsidP="0072156A">
      <w:pPr>
        <w:pStyle w:val="ListParagraph"/>
        <w:spacing w:line="276" w:lineRule="auto"/>
        <w:jc w:val="both"/>
        <w:rPr>
          <w:rFonts w:asciiTheme="majorHAnsi" w:hAnsiTheme="majorHAnsi"/>
        </w:rPr>
      </w:pPr>
    </w:p>
    <w:p w14:paraId="6FC77871" w14:textId="77777777" w:rsidR="000E4213" w:rsidRPr="00EA0EA9" w:rsidRDefault="00335A99" w:rsidP="00AA4AD1">
      <w:pPr>
        <w:pStyle w:val="ListParagraph"/>
        <w:numPr>
          <w:ilvl w:val="2"/>
          <w:numId w:val="75"/>
        </w:numPr>
        <w:spacing w:line="276" w:lineRule="auto"/>
        <w:jc w:val="both"/>
        <w:rPr>
          <w:rFonts w:asciiTheme="majorHAnsi" w:hAnsiTheme="majorHAnsi"/>
          <w:b/>
          <w:i/>
          <w:sz w:val="26"/>
          <w:szCs w:val="26"/>
        </w:rPr>
      </w:pPr>
      <w:r w:rsidRPr="00EA0EA9">
        <w:rPr>
          <w:rFonts w:asciiTheme="majorHAnsi" w:hAnsiTheme="majorHAnsi"/>
          <w:b/>
          <w:i/>
          <w:sz w:val="26"/>
          <w:szCs w:val="26"/>
        </w:rPr>
        <w:t xml:space="preserve">Some Selected </w:t>
      </w:r>
      <w:r w:rsidR="007E7933" w:rsidRPr="00EA0EA9">
        <w:rPr>
          <w:rFonts w:asciiTheme="majorHAnsi" w:hAnsiTheme="majorHAnsi"/>
          <w:b/>
          <w:i/>
          <w:sz w:val="26"/>
          <w:szCs w:val="26"/>
        </w:rPr>
        <w:t xml:space="preserve">Thematic </w:t>
      </w:r>
      <w:r w:rsidR="000E4213" w:rsidRPr="00EA0EA9">
        <w:rPr>
          <w:rFonts w:asciiTheme="majorHAnsi" w:hAnsiTheme="majorHAnsi"/>
          <w:b/>
          <w:i/>
          <w:sz w:val="26"/>
          <w:szCs w:val="26"/>
        </w:rPr>
        <w:t>S</w:t>
      </w:r>
      <w:r w:rsidR="007E7933" w:rsidRPr="00EA0EA9">
        <w:rPr>
          <w:rFonts w:asciiTheme="majorHAnsi" w:hAnsiTheme="majorHAnsi"/>
          <w:b/>
          <w:i/>
          <w:sz w:val="26"/>
          <w:szCs w:val="26"/>
        </w:rPr>
        <w:t>pecific Recommendations</w:t>
      </w:r>
    </w:p>
    <w:p w14:paraId="526487DA" w14:textId="1F7BC8B0" w:rsidR="00E45F04" w:rsidRPr="00EA0EA9" w:rsidRDefault="00197490" w:rsidP="00747B8D">
      <w:pPr>
        <w:spacing w:line="276" w:lineRule="auto"/>
        <w:jc w:val="both"/>
        <w:rPr>
          <w:rFonts w:asciiTheme="majorHAnsi" w:hAnsiTheme="majorHAnsi"/>
        </w:rPr>
      </w:pPr>
      <w:r w:rsidRPr="00EA0EA9">
        <w:rPr>
          <w:rFonts w:asciiTheme="majorHAnsi" w:hAnsiTheme="majorHAnsi"/>
        </w:rPr>
        <w:t>In general</w:t>
      </w:r>
      <w:r w:rsidR="001B7222">
        <w:rPr>
          <w:rFonts w:asciiTheme="majorHAnsi" w:hAnsiTheme="majorHAnsi"/>
        </w:rPr>
        <w:t>,</w:t>
      </w:r>
      <w:r w:rsidRPr="00EA0EA9">
        <w:rPr>
          <w:rFonts w:asciiTheme="majorHAnsi" w:hAnsiTheme="majorHAnsi"/>
        </w:rPr>
        <w:t xml:space="preserve"> the Committee that South Africa take</w:t>
      </w:r>
      <w:r w:rsidR="00462258" w:rsidRPr="00EA0EA9">
        <w:rPr>
          <w:rFonts w:asciiTheme="majorHAnsi" w:hAnsiTheme="majorHAnsi"/>
        </w:rPr>
        <w:t>s</w:t>
      </w:r>
      <w:r w:rsidRPr="00EA0EA9">
        <w:rPr>
          <w:rFonts w:asciiTheme="majorHAnsi" w:hAnsiTheme="majorHAnsi"/>
        </w:rPr>
        <w:t xml:space="preserve"> all measures </w:t>
      </w:r>
      <w:r w:rsidR="00E45F04" w:rsidRPr="00EA0EA9">
        <w:rPr>
          <w:rFonts w:asciiTheme="majorHAnsi" w:hAnsiTheme="majorHAnsi"/>
        </w:rPr>
        <w:t xml:space="preserve">to address </w:t>
      </w:r>
      <w:r w:rsidR="007265F2" w:rsidRPr="00EA0EA9">
        <w:rPr>
          <w:rFonts w:asciiTheme="majorHAnsi" w:hAnsiTheme="majorHAnsi"/>
        </w:rPr>
        <w:t>recommendations</w:t>
      </w:r>
      <w:r w:rsidRPr="00EA0EA9">
        <w:rPr>
          <w:rFonts w:asciiTheme="majorHAnsi" w:hAnsiTheme="majorHAnsi"/>
        </w:rPr>
        <w:t xml:space="preserve"> related to legisla</w:t>
      </w:r>
      <w:r w:rsidR="00462258" w:rsidRPr="00EA0EA9">
        <w:rPr>
          <w:rFonts w:asciiTheme="majorHAnsi" w:hAnsiTheme="majorHAnsi"/>
        </w:rPr>
        <w:t xml:space="preserve">tion, data collection, </w:t>
      </w:r>
      <w:r w:rsidRPr="00EA0EA9">
        <w:rPr>
          <w:rFonts w:asciiTheme="majorHAnsi" w:hAnsiTheme="majorHAnsi"/>
        </w:rPr>
        <w:t>budgetary allocations, domestic violence, ill-treatment and abuse</w:t>
      </w:r>
      <w:r w:rsidR="00462258" w:rsidRPr="00EA0EA9">
        <w:rPr>
          <w:rFonts w:asciiTheme="majorHAnsi" w:hAnsiTheme="majorHAnsi"/>
        </w:rPr>
        <w:t>, corporal punishment</w:t>
      </w:r>
      <w:r w:rsidRPr="00EA0EA9">
        <w:rPr>
          <w:rFonts w:asciiTheme="majorHAnsi" w:hAnsiTheme="majorHAnsi"/>
        </w:rPr>
        <w:t xml:space="preserve">, primary health care, adolescent health, education </w:t>
      </w:r>
      <w:r w:rsidR="00462258" w:rsidRPr="00EA0EA9">
        <w:rPr>
          <w:rFonts w:asciiTheme="majorHAnsi" w:hAnsiTheme="majorHAnsi"/>
        </w:rPr>
        <w:t>and juvenile justice</w:t>
      </w:r>
      <w:r w:rsidRPr="00EA0EA9">
        <w:rPr>
          <w:rFonts w:asciiTheme="majorHAnsi" w:hAnsiTheme="majorHAnsi"/>
        </w:rPr>
        <w:t xml:space="preserve">. </w:t>
      </w:r>
      <w:r w:rsidR="00954757" w:rsidRPr="00EA0EA9">
        <w:rPr>
          <w:rFonts w:asciiTheme="majorHAnsi" w:hAnsiTheme="majorHAnsi"/>
        </w:rPr>
        <w:t>In accordance with the g</w:t>
      </w:r>
      <w:r w:rsidR="000E4213" w:rsidRPr="00EA0EA9">
        <w:rPr>
          <w:rFonts w:asciiTheme="majorHAnsi" w:hAnsiTheme="majorHAnsi"/>
        </w:rPr>
        <w:t>eneral measures of implementation (</w:t>
      </w:r>
      <w:r w:rsidR="00E45F04" w:rsidRPr="00EA0EA9">
        <w:rPr>
          <w:rFonts w:asciiTheme="majorHAnsi" w:hAnsiTheme="majorHAnsi"/>
        </w:rPr>
        <w:t>A</w:t>
      </w:r>
      <w:r w:rsidR="000E4213" w:rsidRPr="00EA0EA9">
        <w:rPr>
          <w:rFonts w:asciiTheme="majorHAnsi" w:hAnsiTheme="majorHAnsi"/>
        </w:rPr>
        <w:t>rt</w:t>
      </w:r>
      <w:r w:rsidR="00E45F04" w:rsidRPr="00EA0EA9">
        <w:rPr>
          <w:rFonts w:asciiTheme="majorHAnsi" w:hAnsiTheme="majorHAnsi"/>
        </w:rPr>
        <w:t>icle</w:t>
      </w:r>
      <w:r w:rsidR="000E4213" w:rsidRPr="00EA0EA9">
        <w:rPr>
          <w:rFonts w:asciiTheme="majorHAnsi" w:hAnsiTheme="majorHAnsi"/>
        </w:rPr>
        <w:t>s. 4, 42 and 44 (6)), the Comm</w:t>
      </w:r>
      <w:r w:rsidR="00657187" w:rsidRPr="00EA0EA9">
        <w:rPr>
          <w:rFonts w:asciiTheme="majorHAnsi" w:hAnsiTheme="majorHAnsi"/>
        </w:rPr>
        <w:t xml:space="preserve">ittee made, amongst others, some of the </w:t>
      </w:r>
      <w:r w:rsidR="000E4213" w:rsidRPr="00EA0EA9">
        <w:rPr>
          <w:rFonts w:asciiTheme="majorHAnsi" w:hAnsiTheme="majorHAnsi"/>
        </w:rPr>
        <w:t>following recommendations:</w:t>
      </w:r>
    </w:p>
    <w:p w14:paraId="75BC9953" w14:textId="77777777" w:rsidR="00E45F04" w:rsidRPr="00EA0EA9" w:rsidRDefault="00E45F04" w:rsidP="00747B8D">
      <w:pPr>
        <w:spacing w:line="276" w:lineRule="auto"/>
        <w:jc w:val="both"/>
        <w:rPr>
          <w:rFonts w:asciiTheme="majorHAnsi" w:hAnsiTheme="majorHAnsi"/>
        </w:rPr>
      </w:pPr>
    </w:p>
    <w:p w14:paraId="5F52EAE7" w14:textId="77777777" w:rsidR="00E45F04" w:rsidRPr="00EA0EA9" w:rsidRDefault="00E45F04" w:rsidP="00747B8D">
      <w:pPr>
        <w:spacing w:line="276" w:lineRule="auto"/>
        <w:jc w:val="both"/>
        <w:rPr>
          <w:rFonts w:asciiTheme="majorHAnsi" w:hAnsiTheme="majorHAnsi"/>
        </w:rPr>
      </w:pPr>
    </w:p>
    <w:p w14:paraId="0B0A9389" w14:textId="77777777" w:rsidR="00E45F04" w:rsidRPr="00EA0EA9" w:rsidRDefault="00E45F04" w:rsidP="00747B8D">
      <w:pPr>
        <w:spacing w:line="276" w:lineRule="auto"/>
        <w:jc w:val="both"/>
        <w:rPr>
          <w:rFonts w:asciiTheme="majorHAnsi" w:hAnsiTheme="majorHAnsi"/>
        </w:rPr>
      </w:pPr>
    </w:p>
    <w:p w14:paraId="2FCAACA9" w14:textId="77777777" w:rsidR="00E45F04" w:rsidRPr="00EA0EA9" w:rsidRDefault="00E45F04" w:rsidP="00747B8D">
      <w:pPr>
        <w:spacing w:line="276" w:lineRule="auto"/>
        <w:jc w:val="both"/>
        <w:rPr>
          <w:rFonts w:asciiTheme="majorHAnsi" w:hAnsiTheme="majorHAnsi"/>
        </w:rPr>
      </w:pPr>
    </w:p>
    <w:p w14:paraId="0D4EAA96" w14:textId="77777777" w:rsidR="00E45F04" w:rsidRPr="00EA0EA9" w:rsidRDefault="00E45F04" w:rsidP="00747B8D">
      <w:pPr>
        <w:spacing w:line="276" w:lineRule="auto"/>
        <w:jc w:val="both"/>
        <w:rPr>
          <w:rFonts w:asciiTheme="majorHAnsi" w:hAnsiTheme="majorHAnsi"/>
        </w:rPr>
      </w:pPr>
    </w:p>
    <w:p w14:paraId="1DF2F225" w14:textId="77777777" w:rsidR="00E45F04" w:rsidRPr="00EA0EA9" w:rsidRDefault="00E45F04" w:rsidP="00747B8D">
      <w:pPr>
        <w:spacing w:line="276" w:lineRule="auto"/>
        <w:jc w:val="both"/>
        <w:rPr>
          <w:rFonts w:asciiTheme="majorHAnsi" w:hAnsiTheme="majorHAnsi"/>
        </w:rPr>
      </w:pPr>
    </w:p>
    <w:p w14:paraId="0C402B05" w14:textId="77777777" w:rsidR="0072156A" w:rsidRPr="00EA0EA9" w:rsidRDefault="0072156A" w:rsidP="00747B8D">
      <w:pPr>
        <w:spacing w:line="276" w:lineRule="auto"/>
        <w:jc w:val="both"/>
        <w:rPr>
          <w:rFonts w:asciiTheme="majorHAnsi" w:hAnsiTheme="majorHAnsi"/>
          <w:b/>
        </w:rPr>
      </w:pPr>
    </w:p>
    <w:p w14:paraId="14BF0D6D" w14:textId="77777777" w:rsidR="0072156A" w:rsidRPr="00EA0EA9" w:rsidRDefault="0072156A" w:rsidP="00747B8D">
      <w:pPr>
        <w:spacing w:line="276" w:lineRule="auto"/>
        <w:jc w:val="both"/>
        <w:rPr>
          <w:rFonts w:asciiTheme="majorHAnsi" w:hAnsiTheme="majorHAnsi"/>
          <w:b/>
        </w:rPr>
      </w:pPr>
    </w:p>
    <w:p w14:paraId="0072C154" w14:textId="77777777" w:rsidR="0072156A" w:rsidRPr="00EA0EA9" w:rsidRDefault="0072156A" w:rsidP="00747B8D">
      <w:pPr>
        <w:spacing w:line="276" w:lineRule="auto"/>
        <w:jc w:val="both"/>
        <w:rPr>
          <w:rFonts w:asciiTheme="majorHAnsi" w:hAnsiTheme="majorHAnsi"/>
          <w:b/>
        </w:rPr>
      </w:pPr>
    </w:p>
    <w:p w14:paraId="4D6F65DE" w14:textId="77777777" w:rsidR="0072156A" w:rsidRPr="00EA0EA9" w:rsidRDefault="0072156A" w:rsidP="00747B8D">
      <w:pPr>
        <w:spacing w:line="276" w:lineRule="auto"/>
        <w:jc w:val="both"/>
        <w:rPr>
          <w:rFonts w:asciiTheme="majorHAnsi" w:hAnsiTheme="majorHAnsi"/>
          <w:b/>
        </w:rPr>
        <w:sectPr w:rsidR="0072156A" w:rsidRPr="00EA0EA9" w:rsidSect="00886D7F">
          <w:headerReference w:type="default" r:id="rId18"/>
          <w:footerReference w:type="default" r:id="rId19"/>
          <w:pgSz w:w="11900" w:h="16840"/>
          <w:pgMar w:top="1440" w:right="1440" w:bottom="1440" w:left="1440" w:header="708" w:footer="708" w:gutter="0"/>
          <w:pgNumType w:start="1"/>
          <w:cols w:space="720"/>
        </w:sectPr>
      </w:pPr>
    </w:p>
    <w:tbl>
      <w:tblPr>
        <w:tblStyle w:val="TableGrid"/>
        <w:tblpPr w:leftFromText="180" w:rightFromText="180" w:horzAnchor="margin" w:tblpY="630"/>
        <w:tblW w:w="0" w:type="auto"/>
        <w:shd w:val="clear" w:color="auto" w:fill="D99594" w:themeFill="accent2" w:themeFillTint="99"/>
        <w:tblLook w:val="04A0" w:firstRow="1" w:lastRow="0" w:firstColumn="1" w:lastColumn="0" w:noHBand="0" w:noVBand="1"/>
      </w:tblPr>
      <w:tblGrid>
        <w:gridCol w:w="1951"/>
        <w:gridCol w:w="11596"/>
      </w:tblGrid>
      <w:tr w:rsidR="00DF2E8F" w:rsidRPr="00EA0EA9" w14:paraId="38B7C769" w14:textId="77777777" w:rsidTr="00B42BFB">
        <w:trPr>
          <w:trHeight w:val="133"/>
        </w:trPr>
        <w:tc>
          <w:tcPr>
            <w:tcW w:w="13547" w:type="dxa"/>
            <w:gridSpan w:val="2"/>
            <w:shd w:val="clear" w:color="auto" w:fill="D99594" w:themeFill="accent2" w:themeFillTint="99"/>
          </w:tcPr>
          <w:p w14:paraId="45A3D1E3" w14:textId="77777777" w:rsidR="00DF2E8F" w:rsidRPr="00EA0EA9" w:rsidRDefault="00DF2E8F" w:rsidP="00DF2E8F">
            <w:pPr>
              <w:spacing w:line="276" w:lineRule="auto"/>
              <w:jc w:val="both"/>
              <w:rPr>
                <w:rFonts w:asciiTheme="majorHAnsi" w:hAnsiTheme="majorHAnsi"/>
                <w:b/>
                <w:sz w:val="20"/>
                <w:szCs w:val="18"/>
              </w:rPr>
            </w:pPr>
            <w:r w:rsidRPr="00A87174">
              <w:rPr>
                <w:rFonts w:asciiTheme="majorHAnsi" w:hAnsiTheme="majorHAnsi"/>
                <w:b/>
                <w:sz w:val="20"/>
                <w:szCs w:val="18"/>
              </w:rPr>
              <w:lastRenderedPageBreak/>
              <w:t>Table 3: Thematic Recommendations from the UNCRC Report</w:t>
            </w:r>
          </w:p>
        </w:tc>
      </w:tr>
      <w:tr w:rsidR="00954757" w:rsidRPr="00EA0EA9" w14:paraId="1662D9A8" w14:textId="77777777" w:rsidTr="00E40808">
        <w:trPr>
          <w:trHeight w:val="133"/>
        </w:trPr>
        <w:tc>
          <w:tcPr>
            <w:tcW w:w="1951" w:type="dxa"/>
            <w:shd w:val="clear" w:color="auto" w:fill="D99594" w:themeFill="accent2" w:themeFillTint="99"/>
          </w:tcPr>
          <w:p w14:paraId="7D69C7BB" w14:textId="77777777" w:rsidR="00954757" w:rsidRPr="00EA0EA9" w:rsidRDefault="00954757" w:rsidP="00E40808">
            <w:pPr>
              <w:spacing w:line="276" w:lineRule="auto"/>
              <w:jc w:val="both"/>
              <w:rPr>
                <w:rFonts w:asciiTheme="majorHAnsi" w:hAnsiTheme="majorHAnsi"/>
                <w:b/>
                <w:sz w:val="18"/>
                <w:szCs w:val="18"/>
              </w:rPr>
            </w:pPr>
            <w:r w:rsidRPr="00EA0EA9">
              <w:rPr>
                <w:rFonts w:asciiTheme="majorHAnsi" w:hAnsiTheme="majorHAnsi"/>
                <w:b/>
                <w:sz w:val="18"/>
                <w:szCs w:val="18"/>
              </w:rPr>
              <w:t>Theme</w:t>
            </w:r>
          </w:p>
        </w:tc>
        <w:tc>
          <w:tcPr>
            <w:tcW w:w="11596" w:type="dxa"/>
            <w:shd w:val="clear" w:color="auto" w:fill="D99594" w:themeFill="accent2" w:themeFillTint="99"/>
          </w:tcPr>
          <w:p w14:paraId="5E2040CD" w14:textId="77777777" w:rsidR="00954757" w:rsidRPr="00EA0EA9" w:rsidRDefault="00954757" w:rsidP="00E40808">
            <w:pPr>
              <w:spacing w:line="276" w:lineRule="auto"/>
              <w:jc w:val="both"/>
              <w:rPr>
                <w:rFonts w:asciiTheme="majorHAnsi" w:hAnsiTheme="majorHAnsi"/>
                <w:b/>
                <w:sz w:val="18"/>
                <w:szCs w:val="18"/>
              </w:rPr>
            </w:pPr>
            <w:r w:rsidRPr="00EA0EA9">
              <w:rPr>
                <w:rFonts w:asciiTheme="majorHAnsi" w:hAnsiTheme="majorHAnsi"/>
                <w:b/>
                <w:sz w:val="18"/>
                <w:szCs w:val="18"/>
              </w:rPr>
              <w:t>Recommendations</w:t>
            </w:r>
          </w:p>
        </w:tc>
      </w:tr>
      <w:tr w:rsidR="005F6B1F" w:rsidRPr="00EA0EA9" w14:paraId="55908B08" w14:textId="77777777" w:rsidTr="00E40808">
        <w:trPr>
          <w:trHeight w:val="133"/>
        </w:trPr>
        <w:tc>
          <w:tcPr>
            <w:tcW w:w="1951" w:type="dxa"/>
            <w:shd w:val="clear" w:color="auto" w:fill="D99594" w:themeFill="accent2" w:themeFillTint="99"/>
          </w:tcPr>
          <w:p w14:paraId="6944CC0F" w14:textId="77777777" w:rsidR="005F6B1F" w:rsidRPr="00EA0EA9" w:rsidRDefault="005F6B1F" w:rsidP="00E40808">
            <w:pPr>
              <w:spacing w:line="276" w:lineRule="auto"/>
              <w:jc w:val="both"/>
              <w:rPr>
                <w:rFonts w:asciiTheme="majorHAnsi" w:hAnsiTheme="majorHAnsi"/>
                <w:i/>
                <w:sz w:val="18"/>
                <w:szCs w:val="18"/>
              </w:rPr>
            </w:pPr>
            <w:r w:rsidRPr="00EA0EA9">
              <w:rPr>
                <w:rFonts w:asciiTheme="majorHAnsi" w:hAnsiTheme="majorHAnsi"/>
                <w:i/>
                <w:sz w:val="18"/>
                <w:szCs w:val="18"/>
              </w:rPr>
              <w:t>Definition of the child</w:t>
            </w:r>
          </w:p>
        </w:tc>
        <w:tc>
          <w:tcPr>
            <w:tcW w:w="11596" w:type="dxa"/>
            <w:shd w:val="clear" w:color="auto" w:fill="D99594" w:themeFill="accent2" w:themeFillTint="99"/>
          </w:tcPr>
          <w:p w14:paraId="0F5546FA" w14:textId="77777777" w:rsidR="005F6B1F" w:rsidRPr="00EA0EA9" w:rsidRDefault="00891DF4" w:rsidP="009742F5">
            <w:pPr>
              <w:spacing w:line="276" w:lineRule="auto"/>
              <w:jc w:val="both"/>
              <w:rPr>
                <w:rFonts w:asciiTheme="majorHAnsi" w:hAnsiTheme="majorHAnsi"/>
                <w:sz w:val="18"/>
                <w:szCs w:val="18"/>
              </w:rPr>
            </w:pPr>
            <w:r w:rsidRPr="00EA0EA9">
              <w:rPr>
                <w:rFonts w:asciiTheme="majorHAnsi" w:hAnsiTheme="majorHAnsi"/>
                <w:sz w:val="18"/>
                <w:szCs w:val="18"/>
              </w:rPr>
              <w:t>T</w:t>
            </w:r>
            <w:r w:rsidR="005F6B1F" w:rsidRPr="00EA0EA9">
              <w:rPr>
                <w:rFonts w:asciiTheme="majorHAnsi" w:hAnsiTheme="majorHAnsi"/>
                <w:sz w:val="18"/>
                <w:szCs w:val="18"/>
              </w:rPr>
              <w:t>he Children’s Act (2005) sets the minimum age for marriage at 12 years fo</w:t>
            </w:r>
            <w:r w:rsidR="009742F5" w:rsidRPr="00EA0EA9">
              <w:rPr>
                <w:rFonts w:asciiTheme="majorHAnsi" w:hAnsiTheme="majorHAnsi"/>
                <w:sz w:val="18"/>
                <w:szCs w:val="18"/>
              </w:rPr>
              <w:t xml:space="preserve">r girls and 14 for boys and </w:t>
            </w:r>
            <w:r w:rsidR="005F6B1F" w:rsidRPr="00EA0EA9">
              <w:rPr>
                <w:rFonts w:asciiTheme="majorHAnsi" w:hAnsiTheme="majorHAnsi"/>
                <w:sz w:val="18"/>
                <w:szCs w:val="18"/>
              </w:rPr>
              <w:t>the Marriage Act (1961) and the Recognition of Cus</w:t>
            </w:r>
            <w:r w:rsidR="009742F5" w:rsidRPr="00EA0EA9">
              <w:rPr>
                <w:rFonts w:asciiTheme="majorHAnsi" w:hAnsiTheme="majorHAnsi"/>
                <w:sz w:val="18"/>
                <w:szCs w:val="18"/>
              </w:rPr>
              <w:t>tomary Marriages Act (1998) set</w:t>
            </w:r>
            <w:r w:rsidR="005F6B1F" w:rsidRPr="00EA0EA9">
              <w:rPr>
                <w:rFonts w:asciiTheme="majorHAnsi" w:hAnsiTheme="majorHAnsi"/>
                <w:sz w:val="18"/>
                <w:szCs w:val="18"/>
              </w:rPr>
              <w:t xml:space="preserve"> different conditions for marriages for girl</w:t>
            </w:r>
            <w:r w:rsidR="00D81207" w:rsidRPr="00EA0EA9">
              <w:rPr>
                <w:rFonts w:asciiTheme="majorHAnsi" w:hAnsiTheme="majorHAnsi"/>
                <w:sz w:val="18"/>
                <w:szCs w:val="18"/>
              </w:rPr>
              <w:t xml:space="preserve">s and boys under 18 years old. </w:t>
            </w:r>
            <w:r w:rsidR="00F21358" w:rsidRPr="00EA0EA9">
              <w:rPr>
                <w:rFonts w:asciiTheme="majorHAnsi" w:hAnsiTheme="majorHAnsi"/>
                <w:sz w:val="18"/>
                <w:szCs w:val="18"/>
              </w:rPr>
              <w:t>It is</w:t>
            </w:r>
            <w:r w:rsidR="005F6B1F" w:rsidRPr="00EA0EA9">
              <w:rPr>
                <w:rFonts w:asciiTheme="majorHAnsi" w:hAnsiTheme="majorHAnsi"/>
                <w:sz w:val="18"/>
                <w:szCs w:val="18"/>
              </w:rPr>
              <w:t xml:space="preserve"> recommended that South Africa harmonize all its legislation in order to ensure that the minimum age for marriage is established at 18 years for both girls and boys.</w:t>
            </w:r>
          </w:p>
        </w:tc>
      </w:tr>
      <w:tr w:rsidR="00954757" w:rsidRPr="00EA0EA9" w14:paraId="69F59040" w14:textId="77777777" w:rsidTr="00E40808">
        <w:trPr>
          <w:trHeight w:val="133"/>
        </w:trPr>
        <w:tc>
          <w:tcPr>
            <w:tcW w:w="1951" w:type="dxa"/>
            <w:shd w:val="clear" w:color="auto" w:fill="D99594" w:themeFill="accent2" w:themeFillTint="99"/>
          </w:tcPr>
          <w:p w14:paraId="2532A42D" w14:textId="77777777" w:rsidR="00954757" w:rsidRPr="00EA0EA9" w:rsidRDefault="00954757" w:rsidP="00E40808">
            <w:pPr>
              <w:spacing w:line="276" w:lineRule="auto"/>
              <w:jc w:val="both"/>
              <w:rPr>
                <w:rFonts w:asciiTheme="majorHAnsi" w:hAnsiTheme="majorHAnsi"/>
                <w:i/>
                <w:sz w:val="18"/>
                <w:szCs w:val="18"/>
              </w:rPr>
            </w:pPr>
            <w:r w:rsidRPr="00EA0EA9">
              <w:rPr>
                <w:rFonts w:asciiTheme="majorHAnsi" w:hAnsiTheme="majorHAnsi"/>
                <w:i/>
                <w:sz w:val="18"/>
                <w:szCs w:val="18"/>
              </w:rPr>
              <w:t xml:space="preserve">Comprehensive policy and strategy </w:t>
            </w:r>
          </w:p>
          <w:p w14:paraId="22D105E7" w14:textId="77777777" w:rsidR="00954757" w:rsidRPr="00EA0EA9" w:rsidRDefault="00954757" w:rsidP="00E40808">
            <w:pPr>
              <w:spacing w:line="276" w:lineRule="auto"/>
              <w:jc w:val="both"/>
              <w:rPr>
                <w:rFonts w:asciiTheme="majorHAnsi" w:hAnsiTheme="majorHAnsi"/>
                <w:sz w:val="18"/>
                <w:szCs w:val="18"/>
              </w:rPr>
            </w:pPr>
          </w:p>
        </w:tc>
        <w:tc>
          <w:tcPr>
            <w:tcW w:w="11596" w:type="dxa"/>
            <w:shd w:val="clear" w:color="auto" w:fill="D99594" w:themeFill="accent2" w:themeFillTint="99"/>
          </w:tcPr>
          <w:p w14:paraId="47DC2132" w14:textId="77777777" w:rsidR="00A24806" w:rsidRPr="00EA0EA9" w:rsidRDefault="009742F5" w:rsidP="00E40808">
            <w:pPr>
              <w:spacing w:line="276" w:lineRule="auto"/>
              <w:jc w:val="both"/>
              <w:rPr>
                <w:rFonts w:asciiTheme="majorHAnsi" w:hAnsiTheme="majorHAnsi"/>
                <w:sz w:val="18"/>
                <w:szCs w:val="18"/>
              </w:rPr>
            </w:pPr>
            <w:r w:rsidRPr="00EA0EA9">
              <w:rPr>
                <w:rFonts w:asciiTheme="majorHAnsi" w:hAnsiTheme="majorHAnsi"/>
                <w:sz w:val="18"/>
                <w:szCs w:val="18"/>
              </w:rPr>
              <w:t>T</w:t>
            </w:r>
            <w:r w:rsidR="00A24806" w:rsidRPr="00EA0EA9">
              <w:rPr>
                <w:rFonts w:asciiTheme="majorHAnsi" w:hAnsiTheme="majorHAnsi"/>
                <w:sz w:val="18"/>
                <w:szCs w:val="18"/>
              </w:rPr>
              <w:t>he adoption of the National Plan of Action for Children in South Africa 2012-2017</w:t>
            </w:r>
            <w:r w:rsidRPr="00EA0EA9">
              <w:rPr>
                <w:rFonts w:asciiTheme="majorHAnsi" w:hAnsiTheme="majorHAnsi"/>
                <w:sz w:val="18"/>
                <w:szCs w:val="18"/>
              </w:rPr>
              <w:t xml:space="preserve"> is welcoming</w:t>
            </w:r>
            <w:r w:rsidR="002A2E4C" w:rsidRPr="00EA0EA9">
              <w:rPr>
                <w:rFonts w:asciiTheme="majorHAnsi" w:hAnsiTheme="majorHAnsi"/>
                <w:sz w:val="18"/>
                <w:szCs w:val="18"/>
              </w:rPr>
              <w:t xml:space="preserve">. However, there is some </w:t>
            </w:r>
            <w:r w:rsidR="00A24806" w:rsidRPr="00EA0EA9">
              <w:rPr>
                <w:rFonts w:asciiTheme="majorHAnsi" w:hAnsiTheme="majorHAnsi"/>
                <w:sz w:val="18"/>
                <w:szCs w:val="18"/>
              </w:rPr>
              <w:t xml:space="preserve">concern that the implementation of the Plan has been weak, and that no reports on progress have been issued. </w:t>
            </w:r>
            <w:r w:rsidR="00DB2B88" w:rsidRPr="00EA0EA9">
              <w:rPr>
                <w:rFonts w:asciiTheme="majorHAnsi" w:hAnsiTheme="majorHAnsi"/>
                <w:sz w:val="18"/>
                <w:szCs w:val="18"/>
              </w:rPr>
              <w:t xml:space="preserve">Therefore, </w:t>
            </w:r>
            <w:r w:rsidR="00A24806" w:rsidRPr="00EA0EA9">
              <w:rPr>
                <w:rFonts w:asciiTheme="majorHAnsi" w:hAnsiTheme="majorHAnsi"/>
                <w:sz w:val="18"/>
                <w:szCs w:val="18"/>
              </w:rPr>
              <w:t xml:space="preserve">South Africa should: </w:t>
            </w:r>
          </w:p>
          <w:p w14:paraId="62F2506E" w14:textId="77777777" w:rsidR="00A24806" w:rsidRPr="00EA0EA9" w:rsidRDefault="00A24806" w:rsidP="00352B52">
            <w:pPr>
              <w:pStyle w:val="ListParagraph"/>
              <w:numPr>
                <w:ilvl w:val="0"/>
                <w:numId w:val="61"/>
              </w:numPr>
              <w:spacing w:line="276" w:lineRule="auto"/>
              <w:jc w:val="both"/>
              <w:rPr>
                <w:rFonts w:asciiTheme="majorHAnsi" w:hAnsiTheme="majorHAnsi"/>
                <w:sz w:val="18"/>
                <w:szCs w:val="18"/>
              </w:rPr>
            </w:pPr>
            <w:r w:rsidRPr="00EA0EA9">
              <w:rPr>
                <w:rFonts w:asciiTheme="majorHAnsi" w:hAnsiTheme="majorHAnsi"/>
                <w:sz w:val="18"/>
                <w:szCs w:val="18"/>
              </w:rPr>
              <w:t xml:space="preserve">Expedite the completion of a comprehensive mid-term review of the Plan; </w:t>
            </w:r>
          </w:p>
          <w:p w14:paraId="050480EE" w14:textId="77777777" w:rsidR="00A24806" w:rsidRPr="00EA0EA9" w:rsidRDefault="00A24806" w:rsidP="00352B52">
            <w:pPr>
              <w:pStyle w:val="ListParagraph"/>
              <w:numPr>
                <w:ilvl w:val="0"/>
                <w:numId w:val="61"/>
              </w:numPr>
              <w:spacing w:line="276" w:lineRule="auto"/>
              <w:jc w:val="both"/>
              <w:rPr>
                <w:rFonts w:asciiTheme="majorHAnsi" w:hAnsiTheme="majorHAnsi"/>
                <w:sz w:val="18"/>
                <w:szCs w:val="18"/>
              </w:rPr>
            </w:pPr>
            <w:r w:rsidRPr="00EA0EA9">
              <w:rPr>
                <w:rFonts w:asciiTheme="majorHAnsi" w:hAnsiTheme="majorHAnsi"/>
                <w:sz w:val="18"/>
                <w:szCs w:val="18"/>
              </w:rPr>
              <w:t>Ensure timely issuance and publication of reports as stipulated in the Plan;</w:t>
            </w:r>
          </w:p>
          <w:p w14:paraId="18D2CC55" w14:textId="77777777" w:rsidR="00954757" w:rsidRPr="00EA0EA9" w:rsidRDefault="00A24806" w:rsidP="00352B52">
            <w:pPr>
              <w:pStyle w:val="ListParagraph"/>
              <w:numPr>
                <w:ilvl w:val="0"/>
                <w:numId w:val="61"/>
              </w:numPr>
              <w:spacing w:line="276" w:lineRule="auto"/>
              <w:jc w:val="both"/>
              <w:rPr>
                <w:rFonts w:asciiTheme="majorHAnsi" w:hAnsiTheme="majorHAnsi"/>
                <w:sz w:val="18"/>
                <w:szCs w:val="18"/>
              </w:rPr>
            </w:pPr>
            <w:r w:rsidRPr="00EA0EA9">
              <w:rPr>
                <w:rFonts w:asciiTheme="majorHAnsi" w:hAnsiTheme="majorHAnsi"/>
                <w:sz w:val="18"/>
                <w:szCs w:val="18"/>
              </w:rPr>
              <w:t xml:space="preserve">Develop a national plan of action for children for the period after 2017, based on the outcome of the Plan currently in force and with a clear accountability mechanism and sufficient human, technical and financial resources. </w:t>
            </w:r>
          </w:p>
        </w:tc>
      </w:tr>
      <w:tr w:rsidR="00954757" w:rsidRPr="00EA0EA9" w14:paraId="06D0412F" w14:textId="77777777" w:rsidTr="00E40808">
        <w:trPr>
          <w:trHeight w:val="133"/>
        </w:trPr>
        <w:tc>
          <w:tcPr>
            <w:tcW w:w="1951" w:type="dxa"/>
            <w:shd w:val="clear" w:color="auto" w:fill="D99594" w:themeFill="accent2" w:themeFillTint="99"/>
          </w:tcPr>
          <w:p w14:paraId="0CABCA02" w14:textId="77777777" w:rsidR="00A24806" w:rsidRPr="00EA0EA9" w:rsidRDefault="00A24806" w:rsidP="00E40808">
            <w:pPr>
              <w:spacing w:line="276" w:lineRule="auto"/>
              <w:jc w:val="both"/>
              <w:rPr>
                <w:rFonts w:asciiTheme="majorHAnsi" w:hAnsiTheme="majorHAnsi"/>
                <w:sz w:val="18"/>
                <w:szCs w:val="18"/>
              </w:rPr>
            </w:pPr>
            <w:r w:rsidRPr="00EA0EA9">
              <w:rPr>
                <w:rFonts w:asciiTheme="majorHAnsi" w:hAnsiTheme="majorHAnsi"/>
                <w:sz w:val="18"/>
                <w:szCs w:val="18"/>
              </w:rPr>
              <w:t xml:space="preserve">Coordination </w:t>
            </w:r>
          </w:p>
          <w:p w14:paraId="357171A3" w14:textId="77777777" w:rsidR="00954757" w:rsidRPr="00EA0EA9" w:rsidRDefault="00954757" w:rsidP="00E40808">
            <w:pPr>
              <w:spacing w:line="276" w:lineRule="auto"/>
              <w:jc w:val="both"/>
              <w:rPr>
                <w:rFonts w:asciiTheme="majorHAnsi" w:hAnsiTheme="majorHAnsi"/>
                <w:sz w:val="18"/>
                <w:szCs w:val="18"/>
              </w:rPr>
            </w:pPr>
          </w:p>
        </w:tc>
        <w:tc>
          <w:tcPr>
            <w:tcW w:w="11596" w:type="dxa"/>
            <w:shd w:val="clear" w:color="auto" w:fill="D99594" w:themeFill="accent2" w:themeFillTint="99"/>
          </w:tcPr>
          <w:p w14:paraId="5C215BEC" w14:textId="77777777" w:rsidR="00954757" w:rsidRPr="00EA0EA9" w:rsidRDefault="00615DAC" w:rsidP="006E3EFD">
            <w:pPr>
              <w:spacing w:line="276" w:lineRule="auto"/>
              <w:jc w:val="both"/>
              <w:rPr>
                <w:rFonts w:asciiTheme="majorHAnsi" w:hAnsiTheme="majorHAnsi"/>
                <w:sz w:val="18"/>
                <w:szCs w:val="18"/>
              </w:rPr>
            </w:pPr>
            <w:r w:rsidRPr="00EA0EA9">
              <w:rPr>
                <w:rFonts w:asciiTheme="majorHAnsi" w:hAnsiTheme="majorHAnsi"/>
                <w:sz w:val="18"/>
                <w:szCs w:val="18"/>
              </w:rPr>
              <w:t>The establishment of the National Children’s Rights Intersectoral Coordination Committee in 2015</w:t>
            </w:r>
            <w:r w:rsidR="009201C5" w:rsidRPr="00EA0EA9">
              <w:rPr>
                <w:rFonts w:asciiTheme="majorHAnsi" w:hAnsiTheme="majorHAnsi"/>
                <w:sz w:val="18"/>
                <w:szCs w:val="18"/>
              </w:rPr>
              <w:t xml:space="preserve"> is a positive step</w:t>
            </w:r>
            <w:r w:rsidRPr="00EA0EA9">
              <w:rPr>
                <w:rFonts w:asciiTheme="majorHAnsi" w:hAnsiTheme="majorHAnsi"/>
                <w:sz w:val="18"/>
                <w:szCs w:val="18"/>
              </w:rPr>
              <w:t xml:space="preserve">. However, it remains unclear whether the mandate of the </w:t>
            </w:r>
            <w:r w:rsidR="006E3EFD" w:rsidRPr="00EA0EA9">
              <w:rPr>
                <w:rFonts w:asciiTheme="majorHAnsi" w:hAnsiTheme="majorHAnsi"/>
                <w:sz w:val="18"/>
                <w:szCs w:val="18"/>
              </w:rPr>
              <w:t xml:space="preserve">UNCRC </w:t>
            </w:r>
            <w:r w:rsidRPr="00EA0EA9">
              <w:rPr>
                <w:rFonts w:asciiTheme="majorHAnsi" w:hAnsiTheme="majorHAnsi"/>
                <w:sz w:val="18"/>
                <w:szCs w:val="18"/>
              </w:rPr>
              <w:t>includes the implementation of the Convention and the Optional Protocols, as well as the implementation of the National Plan of Action for Children 2012 to 2017, and whether it has been given sufficient authority to effectively coordinate activities of all relevant sectors within the Government. South Africa should ensure an appropriate coordinating body is established at a high inter-ministerial level, as it was originally placed, with a clear mandate and sufficient authority to coordinate all activities related to the implementation, monitoring and evaluation of the Convention at cross- sectoral, national, regional and local levels and provided with the necessary human, technical and financial resources for its operation.</w:t>
            </w:r>
          </w:p>
        </w:tc>
      </w:tr>
      <w:tr w:rsidR="00954757" w:rsidRPr="00EA0EA9" w14:paraId="365C697A" w14:textId="77777777" w:rsidTr="00E40808">
        <w:trPr>
          <w:trHeight w:val="133"/>
        </w:trPr>
        <w:tc>
          <w:tcPr>
            <w:tcW w:w="1951" w:type="dxa"/>
            <w:shd w:val="clear" w:color="auto" w:fill="D99594" w:themeFill="accent2" w:themeFillTint="99"/>
          </w:tcPr>
          <w:p w14:paraId="7E615062" w14:textId="77777777" w:rsidR="005A526C" w:rsidRPr="00EA0EA9" w:rsidRDefault="005A526C" w:rsidP="00E40808">
            <w:pPr>
              <w:spacing w:line="276" w:lineRule="auto"/>
              <w:jc w:val="both"/>
              <w:rPr>
                <w:rFonts w:asciiTheme="majorHAnsi" w:hAnsiTheme="majorHAnsi"/>
                <w:sz w:val="18"/>
                <w:szCs w:val="18"/>
              </w:rPr>
            </w:pPr>
            <w:r w:rsidRPr="00EA0EA9">
              <w:rPr>
                <w:rFonts w:asciiTheme="majorHAnsi" w:hAnsiTheme="majorHAnsi"/>
                <w:sz w:val="18"/>
                <w:szCs w:val="18"/>
              </w:rPr>
              <w:t xml:space="preserve">Allocation of resources </w:t>
            </w:r>
          </w:p>
          <w:p w14:paraId="7655B529" w14:textId="77777777" w:rsidR="00954757" w:rsidRPr="00EA0EA9" w:rsidRDefault="00954757" w:rsidP="00E40808">
            <w:pPr>
              <w:spacing w:line="276" w:lineRule="auto"/>
              <w:jc w:val="both"/>
              <w:rPr>
                <w:rFonts w:asciiTheme="majorHAnsi" w:hAnsiTheme="majorHAnsi"/>
                <w:sz w:val="18"/>
                <w:szCs w:val="18"/>
              </w:rPr>
            </w:pPr>
          </w:p>
        </w:tc>
        <w:tc>
          <w:tcPr>
            <w:tcW w:w="11596" w:type="dxa"/>
            <w:shd w:val="clear" w:color="auto" w:fill="D99594" w:themeFill="accent2" w:themeFillTint="99"/>
          </w:tcPr>
          <w:p w14:paraId="5113E5F2" w14:textId="10DA7229" w:rsidR="005A526C" w:rsidRPr="00EA0EA9" w:rsidRDefault="005A526C" w:rsidP="00E40808">
            <w:pPr>
              <w:spacing w:line="276" w:lineRule="auto"/>
              <w:jc w:val="both"/>
              <w:rPr>
                <w:rFonts w:asciiTheme="majorHAnsi" w:hAnsiTheme="majorHAnsi"/>
                <w:sz w:val="18"/>
                <w:szCs w:val="18"/>
              </w:rPr>
            </w:pPr>
            <w:r w:rsidRPr="00EA0EA9">
              <w:rPr>
                <w:rFonts w:asciiTheme="majorHAnsi" w:hAnsiTheme="majorHAnsi"/>
                <w:sz w:val="18"/>
                <w:szCs w:val="18"/>
              </w:rPr>
              <w:t>The overall increase in public expenditure relevant to education, health, social protection and juvenile justice during the period under the review</w:t>
            </w:r>
            <w:r w:rsidR="00AE22B4" w:rsidRPr="00EA0EA9">
              <w:rPr>
                <w:rFonts w:asciiTheme="majorHAnsi" w:hAnsiTheme="majorHAnsi"/>
                <w:sz w:val="18"/>
                <w:szCs w:val="18"/>
              </w:rPr>
              <w:t xml:space="preserve"> is welcoming</w:t>
            </w:r>
            <w:r w:rsidRPr="00EA0EA9">
              <w:rPr>
                <w:rFonts w:asciiTheme="majorHAnsi" w:hAnsiTheme="majorHAnsi"/>
                <w:sz w:val="18"/>
                <w:szCs w:val="18"/>
              </w:rPr>
              <w:t xml:space="preserve">. However, </w:t>
            </w:r>
            <w:r w:rsidR="00F35721" w:rsidRPr="00EA0EA9">
              <w:rPr>
                <w:rFonts w:asciiTheme="majorHAnsi" w:hAnsiTheme="majorHAnsi"/>
                <w:sz w:val="18"/>
                <w:szCs w:val="18"/>
              </w:rPr>
              <w:t>the following</w:t>
            </w:r>
            <w:r w:rsidR="00EB76A9" w:rsidRPr="00EA0EA9">
              <w:rPr>
                <w:rFonts w:asciiTheme="majorHAnsi" w:hAnsiTheme="majorHAnsi"/>
                <w:sz w:val="18"/>
                <w:szCs w:val="18"/>
              </w:rPr>
              <w:t xml:space="preserve"> are of concerned</w:t>
            </w:r>
            <w:r w:rsidRPr="00EA0EA9">
              <w:rPr>
                <w:rFonts w:asciiTheme="majorHAnsi" w:hAnsiTheme="majorHAnsi"/>
                <w:sz w:val="18"/>
                <w:szCs w:val="18"/>
              </w:rPr>
              <w:t xml:space="preserve">: </w:t>
            </w:r>
          </w:p>
          <w:p w14:paraId="03695F17" w14:textId="77777777" w:rsidR="005A526C" w:rsidRPr="00EA0EA9" w:rsidRDefault="005A526C" w:rsidP="00352B52">
            <w:pPr>
              <w:pStyle w:val="ListParagraph"/>
              <w:numPr>
                <w:ilvl w:val="0"/>
                <w:numId w:val="62"/>
              </w:numPr>
              <w:spacing w:line="276" w:lineRule="auto"/>
              <w:jc w:val="both"/>
              <w:rPr>
                <w:rFonts w:asciiTheme="majorHAnsi" w:hAnsiTheme="majorHAnsi"/>
                <w:sz w:val="18"/>
                <w:szCs w:val="18"/>
              </w:rPr>
            </w:pPr>
            <w:r w:rsidRPr="00EA0EA9">
              <w:rPr>
                <w:rFonts w:asciiTheme="majorHAnsi" w:hAnsiTheme="majorHAnsi"/>
                <w:sz w:val="18"/>
                <w:szCs w:val="18"/>
              </w:rPr>
              <w:t xml:space="preserve">The lack of a system to identify and track budget allocation and spending for children; </w:t>
            </w:r>
          </w:p>
          <w:p w14:paraId="7C71B797" w14:textId="77777777" w:rsidR="005A526C" w:rsidRPr="00EA0EA9" w:rsidRDefault="005A526C" w:rsidP="00352B52">
            <w:pPr>
              <w:pStyle w:val="ListParagraph"/>
              <w:numPr>
                <w:ilvl w:val="0"/>
                <w:numId w:val="62"/>
              </w:numPr>
              <w:spacing w:line="276" w:lineRule="auto"/>
              <w:jc w:val="both"/>
              <w:rPr>
                <w:rFonts w:asciiTheme="majorHAnsi" w:hAnsiTheme="majorHAnsi"/>
                <w:sz w:val="18"/>
                <w:szCs w:val="18"/>
              </w:rPr>
            </w:pPr>
            <w:r w:rsidRPr="00EA0EA9">
              <w:rPr>
                <w:rFonts w:asciiTheme="majorHAnsi" w:hAnsiTheme="majorHAnsi"/>
                <w:sz w:val="18"/>
                <w:szCs w:val="18"/>
              </w:rPr>
              <w:t xml:space="preserve">The fluctuation of annual increase of expenditure; </w:t>
            </w:r>
          </w:p>
          <w:p w14:paraId="319D0B93" w14:textId="77777777" w:rsidR="005A526C" w:rsidRPr="00EA0EA9" w:rsidRDefault="005A526C" w:rsidP="00352B52">
            <w:pPr>
              <w:pStyle w:val="ListParagraph"/>
              <w:numPr>
                <w:ilvl w:val="0"/>
                <w:numId w:val="62"/>
              </w:numPr>
              <w:spacing w:line="276" w:lineRule="auto"/>
              <w:jc w:val="both"/>
              <w:rPr>
                <w:rFonts w:asciiTheme="majorHAnsi" w:hAnsiTheme="majorHAnsi"/>
                <w:sz w:val="18"/>
                <w:szCs w:val="18"/>
              </w:rPr>
            </w:pPr>
            <w:r w:rsidRPr="00EA0EA9">
              <w:rPr>
                <w:rFonts w:asciiTheme="majorHAnsi" w:hAnsiTheme="majorHAnsi"/>
                <w:sz w:val="18"/>
                <w:szCs w:val="18"/>
              </w:rPr>
              <w:t xml:space="preserve">The planned budget cut for personnel expenditure of the Department of Social Development which may undermine the human resources necessary to deliver services to children; </w:t>
            </w:r>
          </w:p>
          <w:p w14:paraId="70D1D9A5" w14:textId="77777777" w:rsidR="005A526C" w:rsidRPr="00EA0EA9" w:rsidRDefault="005A526C" w:rsidP="00352B52">
            <w:pPr>
              <w:pStyle w:val="ListParagraph"/>
              <w:numPr>
                <w:ilvl w:val="0"/>
                <w:numId w:val="62"/>
              </w:numPr>
              <w:spacing w:line="276" w:lineRule="auto"/>
              <w:jc w:val="both"/>
              <w:rPr>
                <w:rFonts w:asciiTheme="majorHAnsi" w:hAnsiTheme="majorHAnsi"/>
                <w:sz w:val="18"/>
                <w:szCs w:val="18"/>
              </w:rPr>
            </w:pPr>
            <w:r w:rsidRPr="00EA0EA9">
              <w:rPr>
                <w:rFonts w:asciiTheme="majorHAnsi" w:hAnsiTheme="majorHAnsi"/>
                <w:sz w:val="18"/>
                <w:szCs w:val="18"/>
              </w:rPr>
              <w:t xml:space="preserve">The lack of robust audits on public expenditure and existence of wasteful or irregular expenditure, including corruption. </w:t>
            </w:r>
          </w:p>
          <w:p w14:paraId="3D978794" w14:textId="1313829C" w:rsidR="005A526C" w:rsidRPr="00EA0EA9" w:rsidRDefault="005A526C" w:rsidP="00E40808">
            <w:pPr>
              <w:spacing w:line="276" w:lineRule="auto"/>
              <w:jc w:val="both"/>
              <w:rPr>
                <w:rFonts w:asciiTheme="majorHAnsi" w:hAnsiTheme="majorHAnsi"/>
                <w:sz w:val="18"/>
                <w:szCs w:val="18"/>
              </w:rPr>
            </w:pPr>
            <w:r w:rsidRPr="00EA0EA9">
              <w:rPr>
                <w:rFonts w:asciiTheme="majorHAnsi" w:hAnsiTheme="majorHAnsi"/>
                <w:sz w:val="18"/>
                <w:szCs w:val="18"/>
              </w:rPr>
              <w:t xml:space="preserve"> </w:t>
            </w:r>
            <w:r w:rsidR="00787334" w:rsidRPr="00EA0EA9">
              <w:rPr>
                <w:rFonts w:asciiTheme="majorHAnsi" w:hAnsiTheme="majorHAnsi"/>
                <w:sz w:val="18"/>
                <w:szCs w:val="18"/>
              </w:rPr>
              <w:t>Regarding</w:t>
            </w:r>
            <w:r w:rsidRPr="00EA0EA9">
              <w:rPr>
                <w:rFonts w:asciiTheme="majorHAnsi" w:hAnsiTheme="majorHAnsi"/>
                <w:sz w:val="18"/>
                <w:szCs w:val="18"/>
              </w:rPr>
              <w:t xml:space="preserve"> public budgeting for the realization of children’s rights</w:t>
            </w:r>
            <w:r w:rsidR="00414DB7" w:rsidRPr="00EA0EA9">
              <w:rPr>
                <w:rFonts w:asciiTheme="majorHAnsi" w:hAnsiTheme="majorHAnsi"/>
                <w:sz w:val="18"/>
                <w:szCs w:val="18"/>
              </w:rPr>
              <w:t>,</w:t>
            </w:r>
            <w:r w:rsidRPr="00EA0EA9">
              <w:rPr>
                <w:rFonts w:asciiTheme="majorHAnsi" w:hAnsiTheme="majorHAnsi"/>
                <w:sz w:val="18"/>
                <w:szCs w:val="18"/>
              </w:rPr>
              <w:t xml:space="preserve"> South Africa </w:t>
            </w:r>
            <w:r w:rsidR="00414DB7" w:rsidRPr="00EA0EA9">
              <w:rPr>
                <w:rFonts w:asciiTheme="majorHAnsi" w:hAnsiTheme="majorHAnsi"/>
                <w:sz w:val="18"/>
                <w:szCs w:val="18"/>
              </w:rPr>
              <w:t xml:space="preserve">should </w:t>
            </w:r>
            <w:r w:rsidRPr="00EA0EA9">
              <w:rPr>
                <w:rFonts w:asciiTheme="majorHAnsi" w:hAnsiTheme="majorHAnsi"/>
                <w:sz w:val="18"/>
                <w:szCs w:val="18"/>
              </w:rPr>
              <w:t xml:space="preserve">set up a budgeting process which includes a child rights perspective and specifies clear allocations to children in the relevant sectors and agencies, including specific indicators and a tracking system to monitor and evaluate the adequacy, efficacy and equitability of the distribution of resources allocated to the implementation of the Convention, including by: </w:t>
            </w:r>
          </w:p>
          <w:p w14:paraId="7938FD52" w14:textId="77777777" w:rsidR="005A526C" w:rsidRPr="00EA0EA9" w:rsidRDefault="005A526C" w:rsidP="00352B52">
            <w:pPr>
              <w:pStyle w:val="ListParagraph"/>
              <w:numPr>
                <w:ilvl w:val="0"/>
                <w:numId w:val="63"/>
              </w:numPr>
              <w:spacing w:line="276" w:lineRule="auto"/>
              <w:jc w:val="both"/>
              <w:rPr>
                <w:rFonts w:asciiTheme="majorHAnsi" w:hAnsiTheme="majorHAnsi"/>
                <w:sz w:val="18"/>
                <w:szCs w:val="18"/>
              </w:rPr>
            </w:pPr>
            <w:r w:rsidRPr="00EA0EA9">
              <w:rPr>
                <w:rFonts w:asciiTheme="majorHAnsi" w:hAnsiTheme="majorHAnsi"/>
                <w:sz w:val="18"/>
                <w:szCs w:val="18"/>
              </w:rPr>
              <w:t xml:space="preserve">Setting performance targets linking child-related programme goals to budget allocations and actual expenditures, to allow monitoring of outcomes and impacts on children, including those in vulnerable situations; </w:t>
            </w:r>
          </w:p>
          <w:p w14:paraId="1A5B3AB6" w14:textId="77777777" w:rsidR="005A526C" w:rsidRPr="00EA0EA9" w:rsidRDefault="005A526C" w:rsidP="00352B52">
            <w:pPr>
              <w:pStyle w:val="ListParagraph"/>
              <w:numPr>
                <w:ilvl w:val="0"/>
                <w:numId w:val="63"/>
              </w:numPr>
              <w:spacing w:line="276" w:lineRule="auto"/>
              <w:jc w:val="both"/>
              <w:rPr>
                <w:rFonts w:asciiTheme="majorHAnsi" w:hAnsiTheme="majorHAnsi"/>
                <w:sz w:val="18"/>
                <w:szCs w:val="18"/>
              </w:rPr>
            </w:pPr>
            <w:r w:rsidRPr="00EA0EA9">
              <w:rPr>
                <w:rFonts w:asciiTheme="majorHAnsi" w:hAnsiTheme="majorHAnsi"/>
                <w:sz w:val="18"/>
                <w:szCs w:val="18"/>
              </w:rPr>
              <w:t xml:space="preserve">Developing detailed budget lines and codes for all planned, enacted, revised and actual expenditures that directly affect children; </w:t>
            </w:r>
          </w:p>
          <w:p w14:paraId="38E81EC6" w14:textId="77777777" w:rsidR="005A526C" w:rsidRPr="00EA0EA9" w:rsidRDefault="005A526C" w:rsidP="00352B52">
            <w:pPr>
              <w:pStyle w:val="ListParagraph"/>
              <w:numPr>
                <w:ilvl w:val="0"/>
                <w:numId w:val="63"/>
              </w:numPr>
              <w:spacing w:line="276" w:lineRule="auto"/>
              <w:jc w:val="both"/>
              <w:rPr>
                <w:rFonts w:asciiTheme="majorHAnsi" w:hAnsiTheme="majorHAnsi"/>
                <w:sz w:val="18"/>
                <w:szCs w:val="18"/>
              </w:rPr>
            </w:pPr>
            <w:r w:rsidRPr="00EA0EA9">
              <w:rPr>
                <w:rFonts w:asciiTheme="majorHAnsi" w:hAnsiTheme="majorHAnsi"/>
                <w:sz w:val="18"/>
                <w:szCs w:val="18"/>
              </w:rPr>
              <w:t xml:space="preserve">Using budget classification systems that allow expenditures related to the rights of the child to be reported, tracked and analysed. </w:t>
            </w:r>
          </w:p>
          <w:p w14:paraId="3BF176C9" w14:textId="77777777" w:rsidR="005A526C" w:rsidRPr="00EA0EA9" w:rsidRDefault="005A526C" w:rsidP="00352B52">
            <w:pPr>
              <w:pStyle w:val="ListParagraph"/>
              <w:numPr>
                <w:ilvl w:val="0"/>
                <w:numId w:val="63"/>
              </w:numPr>
              <w:spacing w:line="276" w:lineRule="auto"/>
              <w:jc w:val="both"/>
              <w:rPr>
                <w:rFonts w:asciiTheme="majorHAnsi" w:hAnsiTheme="majorHAnsi"/>
                <w:sz w:val="18"/>
                <w:szCs w:val="18"/>
              </w:rPr>
            </w:pPr>
            <w:r w:rsidRPr="00EA0EA9">
              <w:rPr>
                <w:rFonts w:asciiTheme="majorHAnsi" w:hAnsiTheme="majorHAnsi"/>
                <w:sz w:val="18"/>
                <w:szCs w:val="18"/>
              </w:rPr>
              <w:lastRenderedPageBreak/>
              <w:t xml:space="preserve">Ensuring that the fluctuation or reduction of budget allocation for the delivery of services does not reduce the existing level of enjoyment of children’s rights; </w:t>
            </w:r>
          </w:p>
          <w:p w14:paraId="3966C33A" w14:textId="77777777" w:rsidR="00954757" w:rsidRPr="00EA0EA9" w:rsidRDefault="005A526C" w:rsidP="00352B52">
            <w:pPr>
              <w:pStyle w:val="ListParagraph"/>
              <w:numPr>
                <w:ilvl w:val="0"/>
                <w:numId w:val="63"/>
              </w:numPr>
              <w:spacing w:line="276" w:lineRule="auto"/>
              <w:jc w:val="both"/>
              <w:rPr>
                <w:rFonts w:asciiTheme="majorHAnsi" w:hAnsiTheme="majorHAnsi"/>
                <w:sz w:val="18"/>
                <w:szCs w:val="18"/>
              </w:rPr>
            </w:pPr>
            <w:r w:rsidRPr="00EA0EA9">
              <w:rPr>
                <w:rFonts w:asciiTheme="majorHAnsi" w:hAnsiTheme="majorHAnsi"/>
                <w:sz w:val="18"/>
                <w:szCs w:val="18"/>
              </w:rPr>
              <w:t>Strengthening audits to increase transparency and accountability of public expenditure across all sectors and adopting measures to eradicate corruption and to reduce irregular expenditure, in order to mobilize maximum available resources for the implementation of the rights of the child.</w:t>
            </w:r>
          </w:p>
        </w:tc>
      </w:tr>
      <w:tr w:rsidR="00954757" w:rsidRPr="00EA0EA9" w14:paraId="3DD72776" w14:textId="77777777" w:rsidTr="00E40808">
        <w:trPr>
          <w:trHeight w:val="133"/>
        </w:trPr>
        <w:tc>
          <w:tcPr>
            <w:tcW w:w="1951" w:type="dxa"/>
            <w:shd w:val="clear" w:color="auto" w:fill="D99594" w:themeFill="accent2" w:themeFillTint="99"/>
          </w:tcPr>
          <w:p w14:paraId="12474C42" w14:textId="77777777" w:rsidR="005A526C" w:rsidRPr="00EA0EA9" w:rsidRDefault="005A526C" w:rsidP="00E40808">
            <w:pPr>
              <w:spacing w:line="276" w:lineRule="auto"/>
              <w:jc w:val="both"/>
              <w:rPr>
                <w:rFonts w:asciiTheme="majorHAnsi" w:hAnsiTheme="majorHAnsi"/>
                <w:i/>
                <w:sz w:val="18"/>
                <w:szCs w:val="18"/>
              </w:rPr>
            </w:pPr>
            <w:r w:rsidRPr="00EA0EA9">
              <w:rPr>
                <w:rFonts w:asciiTheme="majorHAnsi" w:hAnsiTheme="majorHAnsi"/>
                <w:i/>
                <w:sz w:val="18"/>
                <w:szCs w:val="18"/>
              </w:rPr>
              <w:lastRenderedPageBreak/>
              <w:t xml:space="preserve">Children’s rights and the business sector </w:t>
            </w:r>
          </w:p>
          <w:p w14:paraId="544538C5" w14:textId="77777777" w:rsidR="00954757" w:rsidRPr="00EA0EA9" w:rsidRDefault="00954757" w:rsidP="00E40808">
            <w:pPr>
              <w:spacing w:line="276" w:lineRule="auto"/>
              <w:jc w:val="both"/>
              <w:rPr>
                <w:rFonts w:asciiTheme="majorHAnsi" w:hAnsiTheme="majorHAnsi"/>
                <w:sz w:val="18"/>
                <w:szCs w:val="18"/>
              </w:rPr>
            </w:pPr>
          </w:p>
        </w:tc>
        <w:tc>
          <w:tcPr>
            <w:tcW w:w="11596" w:type="dxa"/>
            <w:shd w:val="clear" w:color="auto" w:fill="D99594" w:themeFill="accent2" w:themeFillTint="99"/>
          </w:tcPr>
          <w:p w14:paraId="7E9FD1A0" w14:textId="2520DEED" w:rsidR="005A526C" w:rsidRPr="00EA0EA9" w:rsidRDefault="00B625AE" w:rsidP="00E40808">
            <w:pPr>
              <w:spacing w:line="276" w:lineRule="auto"/>
              <w:jc w:val="both"/>
              <w:rPr>
                <w:rFonts w:asciiTheme="majorHAnsi" w:hAnsiTheme="majorHAnsi"/>
                <w:sz w:val="18"/>
                <w:szCs w:val="18"/>
              </w:rPr>
            </w:pPr>
            <w:r w:rsidRPr="00EA0EA9">
              <w:rPr>
                <w:rFonts w:asciiTheme="majorHAnsi" w:hAnsiTheme="majorHAnsi"/>
                <w:sz w:val="18"/>
                <w:szCs w:val="18"/>
              </w:rPr>
              <w:t xml:space="preserve">It is </w:t>
            </w:r>
            <w:r w:rsidR="005A526C" w:rsidRPr="00EA0EA9">
              <w:rPr>
                <w:rFonts w:asciiTheme="majorHAnsi" w:hAnsiTheme="majorHAnsi"/>
                <w:sz w:val="18"/>
                <w:szCs w:val="18"/>
              </w:rPr>
              <w:t>concern</w:t>
            </w:r>
            <w:r w:rsidRPr="00EA0EA9">
              <w:rPr>
                <w:rFonts w:asciiTheme="majorHAnsi" w:hAnsiTheme="majorHAnsi"/>
                <w:sz w:val="18"/>
                <w:szCs w:val="18"/>
              </w:rPr>
              <w:t>ing</w:t>
            </w:r>
            <w:r w:rsidR="005A526C" w:rsidRPr="00EA0EA9">
              <w:rPr>
                <w:rFonts w:asciiTheme="majorHAnsi" w:hAnsiTheme="majorHAnsi"/>
                <w:sz w:val="18"/>
                <w:szCs w:val="18"/>
              </w:rPr>
              <w:t xml:space="preserve"> that </w:t>
            </w:r>
            <w:r w:rsidR="00855701" w:rsidRPr="00EA0EA9">
              <w:rPr>
                <w:rFonts w:asciiTheme="majorHAnsi" w:hAnsiTheme="majorHAnsi"/>
                <w:sz w:val="18"/>
                <w:szCs w:val="18"/>
              </w:rPr>
              <w:t xml:space="preserve">the </w:t>
            </w:r>
            <w:r w:rsidR="005A526C" w:rsidRPr="00EA0EA9">
              <w:rPr>
                <w:rFonts w:asciiTheme="majorHAnsi" w:hAnsiTheme="majorHAnsi"/>
                <w:sz w:val="18"/>
                <w:szCs w:val="18"/>
              </w:rPr>
              <w:t xml:space="preserve">activities of business enterprises operating in South Africa, </w:t>
            </w:r>
            <w:r w:rsidR="007915A5" w:rsidRPr="00EA0EA9">
              <w:rPr>
                <w:rFonts w:asciiTheme="majorHAnsi" w:hAnsiTheme="majorHAnsi"/>
                <w:sz w:val="18"/>
                <w:szCs w:val="18"/>
              </w:rPr>
              <w:t>those</w:t>
            </w:r>
            <w:r w:rsidR="005A526C" w:rsidRPr="00EA0EA9">
              <w:rPr>
                <w:rFonts w:asciiTheme="majorHAnsi" w:hAnsiTheme="majorHAnsi"/>
                <w:sz w:val="18"/>
                <w:szCs w:val="18"/>
              </w:rPr>
              <w:t xml:space="preserve"> of extractive industries have negative impact on the enjoyment of the rights of the child, including through environmental pollution and exploitation of child labour. </w:t>
            </w:r>
            <w:r w:rsidR="007915A5" w:rsidRPr="00EA0EA9">
              <w:rPr>
                <w:rFonts w:asciiTheme="majorHAnsi" w:hAnsiTheme="majorHAnsi"/>
                <w:sz w:val="18"/>
                <w:szCs w:val="18"/>
              </w:rPr>
              <w:t>Regarding</w:t>
            </w:r>
            <w:r w:rsidR="005A526C" w:rsidRPr="00EA0EA9">
              <w:rPr>
                <w:rFonts w:asciiTheme="majorHAnsi" w:hAnsiTheme="majorHAnsi"/>
                <w:sz w:val="18"/>
                <w:szCs w:val="18"/>
              </w:rPr>
              <w:t xml:space="preserve"> the impact of the business sector on children’s rights, South Africa </w:t>
            </w:r>
            <w:r w:rsidR="00302DD4" w:rsidRPr="00EA0EA9">
              <w:rPr>
                <w:rFonts w:asciiTheme="majorHAnsi" w:hAnsiTheme="majorHAnsi"/>
                <w:sz w:val="18"/>
                <w:szCs w:val="18"/>
              </w:rPr>
              <w:t xml:space="preserve">should </w:t>
            </w:r>
            <w:r w:rsidR="005A526C" w:rsidRPr="00EA0EA9">
              <w:rPr>
                <w:rFonts w:asciiTheme="majorHAnsi" w:hAnsiTheme="majorHAnsi"/>
                <w:sz w:val="18"/>
                <w:szCs w:val="18"/>
              </w:rPr>
              <w:t xml:space="preserve">establish and implement regulations to ensure that the business sector complies with international and national human rights, labour, environment and other standards, particularly </w:t>
            </w:r>
            <w:r w:rsidR="007915A5" w:rsidRPr="00EA0EA9">
              <w:rPr>
                <w:rFonts w:asciiTheme="majorHAnsi" w:hAnsiTheme="majorHAnsi"/>
                <w:sz w:val="18"/>
                <w:szCs w:val="18"/>
              </w:rPr>
              <w:t>about</w:t>
            </w:r>
            <w:r w:rsidR="005A526C" w:rsidRPr="00EA0EA9">
              <w:rPr>
                <w:rFonts w:asciiTheme="majorHAnsi" w:hAnsiTheme="majorHAnsi"/>
                <w:sz w:val="18"/>
                <w:szCs w:val="18"/>
              </w:rPr>
              <w:t xml:space="preserve"> children’s rights. </w:t>
            </w:r>
            <w:r w:rsidR="007915A5" w:rsidRPr="00EA0EA9">
              <w:rPr>
                <w:rFonts w:asciiTheme="majorHAnsi" w:hAnsiTheme="majorHAnsi"/>
                <w:sz w:val="18"/>
                <w:szCs w:val="18"/>
              </w:rPr>
              <w:t>It</w:t>
            </w:r>
            <w:r w:rsidR="005A526C" w:rsidRPr="00EA0EA9">
              <w:rPr>
                <w:rFonts w:asciiTheme="majorHAnsi" w:hAnsiTheme="majorHAnsi"/>
                <w:sz w:val="18"/>
                <w:szCs w:val="18"/>
              </w:rPr>
              <w:t xml:space="preserve"> recommends that South Africa: </w:t>
            </w:r>
          </w:p>
          <w:p w14:paraId="5439F530" w14:textId="77777777" w:rsidR="005A526C" w:rsidRPr="00EA0EA9" w:rsidRDefault="005A526C" w:rsidP="00352B52">
            <w:pPr>
              <w:pStyle w:val="ListParagraph"/>
              <w:numPr>
                <w:ilvl w:val="0"/>
                <w:numId w:val="64"/>
              </w:numPr>
              <w:spacing w:line="276" w:lineRule="auto"/>
              <w:jc w:val="both"/>
              <w:rPr>
                <w:rFonts w:asciiTheme="majorHAnsi" w:hAnsiTheme="majorHAnsi"/>
                <w:sz w:val="18"/>
                <w:szCs w:val="18"/>
              </w:rPr>
            </w:pPr>
            <w:r w:rsidRPr="00EA0EA9">
              <w:rPr>
                <w:rFonts w:asciiTheme="majorHAnsi" w:hAnsiTheme="majorHAnsi"/>
                <w:sz w:val="18"/>
                <w:szCs w:val="18"/>
              </w:rPr>
              <w:t xml:space="preserve">Establish a clear regulatory framework for the business enterprises operating in the State party to ensure that their activities do not negatively affect human rights or endanger environmental and other standards, especially those relating to children’s rights; </w:t>
            </w:r>
          </w:p>
          <w:p w14:paraId="4E801B43" w14:textId="77777777" w:rsidR="005A526C" w:rsidRPr="00EA0EA9" w:rsidRDefault="005A526C" w:rsidP="00352B52">
            <w:pPr>
              <w:pStyle w:val="ListParagraph"/>
              <w:numPr>
                <w:ilvl w:val="0"/>
                <w:numId w:val="64"/>
              </w:numPr>
              <w:spacing w:line="276" w:lineRule="auto"/>
              <w:jc w:val="both"/>
              <w:rPr>
                <w:rFonts w:asciiTheme="majorHAnsi" w:hAnsiTheme="majorHAnsi"/>
                <w:sz w:val="18"/>
                <w:szCs w:val="18"/>
              </w:rPr>
            </w:pPr>
            <w:r w:rsidRPr="00EA0EA9">
              <w:rPr>
                <w:rFonts w:asciiTheme="majorHAnsi" w:hAnsiTheme="majorHAnsi"/>
                <w:sz w:val="18"/>
                <w:szCs w:val="18"/>
              </w:rPr>
              <w:t xml:space="preserve">Conduct an independent study on the impacts of environmental pollution caused by the activities of extractive industries on children’s health, including those of mining dust and water pollution. </w:t>
            </w:r>
          </w:p>
          <w:p w14:paraId="23A2B79A" w14:textId="77777777" w:rsidR="005A526C" w:rsidRPr="00EA0EA9" w:rsidRDefault="005A526C" w:rsidP="00352B52">
            <w:pPr>
              <w:pStyle w:val="ListParagraph"/>
              <w:numPr>
                <w:ilvl w:val="0"/>
                <w:numId w:val="64"/>
              </w:numPr>
              <w:spacing w:line="276" w:lineRule="auto"/>
              <w:jc w:val="both"/>
              <w:rPr>
                <w:rFonts w:asciiTheme="majorHAnsi" w:hAnsiTheme="majorHAnsi"/>
                <w:sz w:val="18"/>
                <w:szCs w:val="18"/>
              </w:rPr>
            </w:pPr>
            <w:r w:rsidRPr="00EA0EA9">
              <w:rPr>
                <w:rFonts w:asciiTheme="majorHAnsi" w:hAnsiTheme="majorHAnsi"/>
                <w:sz w:val="18"/>
                <w:szCs w:val="18"/>
              </w:rPr>
              <w:t xml:space="preserve">Ensure effective implementation by business enterprises, especially both large-scale and artisanal enterprises of extractive industries, of international and national environment and health standards; </w:t>
            </w:r>
          </w:p>
          <w:p w14:paraId="346A55C1" w14:textId="77777777" w:rsidR="005A526C" w:rsidRPr="00EA0EA9" w:rsidRDefault="005A526C" w:rsidP="00352B52">
            <w:pPr>
              <w:pStyle w:val="ListParagraph"/>
              <w:numPr>
                <w:ilvl w:val="0"/>
                <w:numId w:val="64"/>
              </w:numPr>
              <w:spacing w:line="276" w:lineRule="auto"/>
              <w:jc w:val="both"/>
              <w:rPr>
                <w:rFonts w:asciiTheme="majorHAnsi" w:hAnsiTheme="majorHAnsi"/>
                <w:sz w:val="18"/>
                <w:szCs w:val="18"/>
              </w:rPr>
            </w:pPr>
            <w:r w:rsidRPr="00EA0EA9">
              <w:rPr>
                <w:rFonts w:asciiTheme="majorHAnsi" w:hAnsiTheme="majorHAnsi"/>
                <w:sz w:val="18"/>
                <w:szCs w:val="18"/>
              </w:rPr>
              <w:t xml:space="preserve">Establish an effective mechanism for monitoring of adherence to above- mentioned standards by business enterprises, especially both large-scale and artisanal enterprises of extractive industries, and appropriately sanction in case of violation and provide remedies to child victims; </w:t>
            </w:r>
          </w:p>
          <w:p w14:paraId="6E68998A" w14:textId="77777777" w:rsidR="00954757" w:rsidRPr="00EA0EA9" w:rsidRDefault="005A526C" w:rsidP="00352B52">
            <w:pPr>
              <w:pStyle w:val="ListParagraph"/>
              <w:numPr>
                <w:ilvl w:val="0"/>
                <w:numId w:val="64"/>
              </w:numPr>
              <w:spacing w:line="276" w:lineRule="auto"/>
              <w:jc w:val="both"/>
              <w:rPr>
                <w:rFonts w:asciiTheme="majorHAnsi" w:hAnsiTheme="majorHAnsi"/>
                <w:sz w:val="18"/>
                <w:szCs w:val="18"/>
              </w:rPr>
            </w:pPr>
            <w:r w:rsidRPr="00EA0EA9">
              <w:rPr>
                <w:rFonts w:asciiTheme="majorHAnsi" w:hAnsiTheme="majorHAnsi"/>
                <w:sz w:val="18"/>
                <w:szCs w:val="18"/>
              </w:rPr>
              <w:t>Be guided by the United Nations “Protect, Respect and Remedy” Framework (2008).</w:t>
            </w:r>
          </w:p>
        </w:tc>
      </w:tr>
      <w:tr w:rsidR="00954757" w:rsidRPr="00EA0EA9" w14:paraId="1D16B3ED" w14:textId="77777777" w:rsidTr="00E40808">
        <w:trPr>
          <w:trHeight w:val="133"/>
        </w:trPr>
        <w:tc>
          <w:tcPr>
            <w:tcW w:w="1951" w:type="dxa"/>
            <w:shd w:val="clear" w:color="auto" w:fill="D99594" w:themeFill="accent2" w:themeFillTint="99"/>
          </w:tcPr>
          <w:p w14:paraId="0211BC1A" w14:textId="77777777" w:rsidR="00BD270E" w:rsidRPr="00EA0EA9" w:rsidRDefault="00BD270E" w:rsidP="00E40808">
            <w:pPr>
              <w:spacing w:line="276" w:lineRule="auto"/>
              <w:jc w:val="both"/>
              <w:rPr>
                <w:rFonts w:asciiTheme="majorHAnsi" w:hAnsiTheme="majorHAnsi"/>
                <w:i/>
                <w:sz w:val="18"/>
                <w:szCs w:val="18"/>
              </w:rPr>
            </w:pPr>
            <w:r w:rsidRPr="00EA0EA9">
              <w:rPr>
                <w:rFonts w:asciiTheme="majorHAnsi" w:hAnsiTheme="majorHAnsi"/>
                <w:i/>
                <w:sz w:val="18"/>
                <w:szCs w:val="18"/>
              </w:rPr>
              <w:t xml:space="preserve">Violence against children </w:t>
            </w:r>
          </w:p>
          <w:p w14:paraId="7D69E9F0" w14:textId="77777777" w:rsidR="00954757" w:rsidRPr="00EA0EA9" w:rsidRDefault="00954757" w:rsidP="00E40808">
            <w:pPr>
              <w:spacing w:line="276" w:lineRule="auto"/>
              <w:jc w:val="both"/>
              <w:rPr>
                <w:rFonts w:asciiTheme="majorHAnsi" w:hAnsiTheme="majorHAnsi"/>
                <w:sz w:val="18"/>
                <w:szCs w:val="18"/>
              </w:rPr>
            </w:pPr>
          </w:p>
        </w:tc>
        <w:tc>
          <w:tcPr>
            <w:tcW w:w="11596" w:type="dxa"/>
            <w:shd w:val="clear" w:color="auto" w:fill="D99594" w:themeFill="accent2" w:themeFillTint="99"/>
          </w:tcPr>
          <w:p w14:paraId="63409ABE" w14:textId="2385990A" w:rsidR="00BD270E" w:rsidRPr="00EA0EA9" w:rsidRDefault="00BD270E" w:rsidP="00E40808">
            <w:pPr>
              <w:spacing w:line="276" w:lineRule="auto"/>
              <w:jc w:val="both"/>
              <w:rPr>
                <w:rFonts w:asciiTheme="majorHAnsi" w:hAnsiTheme="majorHAnsi"/>
                <w:sz w:val="18"/>
                <w:szCs w:val="18"/>
              </w:rPr>
            </w:pPr>
            <w:r w:rsidRPr="00EA0EA9">
              <w:rPr>
                <w:rFonts w:asciiTheme="majorHAnsi" w:hAnsiTheme="majorHAnsi"/>
                <w:sz w:val="18"/>
                <w:szCs w:val="18"/>
              </w:rPr>
              <w:t>The very high prevalence of violence against children, including corporal punishment, gender-based violence and harmful practices</w:t>
            </w:r>
            <w:r w:rsidR="00DA4524" w:rsidRPr="00EA0EA9">
              <w:rPr>
                <w:rFonts w:asciiTheme="majorHAnsi" w:hAnsiTheme="majorHAnsi"/>
                <w:sz w:val="18"/>
                <w:szCs w:val="18"/>
              </w:rPr>
              <w:t xml:space="preserve"> is very concerning</w:t>
            </w:r>
            <w:r w:rsidRPr="00EA0EA9">
              <w:rPr>
                <w:rFonts w:asciiTheme="majorHAnsi" w:hAnsiTheme="majorHAnsi"/>
                <w:sz w:val="18"/>
                <w:szCs w:val="18"/>
              </w:rPr>
              <w:t xml:space="preserve">. </w:t>
            </w:r>
            <w:r w:rsidR="00C2372B" w:rsidRPr="00EA0EA9">
              <w:rPr>
                <w:rFonts w:asciiTheme="majorHAnsi" w:hAnsiTheme="majorHAnsi"/>
                <w:sz w:val="18"/>
                <w:szCs w:val="18"/>
              </w:rPr>
              <w:t>About</w:t>
            </w:r>
            <w:r w:rsidRPr="00EA0EA9">
              <w:rPr>
                <w:rFonts w:asciiTheme="majorHAnsi" w:hAnsiTheme="majorHAnsi"/>
                <w:sz w:val="18"/>
                <w:szCs w:val="18"/>
              </w:rPr>
              <w:t xml:space="preserve"> the right of the child to freedom from all forms of violence and taking note of target 16.2 of the Sustainable Development Goals on ending abuse, exploitation, trafficking and all forms of violence against and torture of children, South Africa </w:t>
            </w:r>
            <w:r w:rsidR="001F3603" w:rsidRPr="00EA0EA9">
              <w:rPr>
                <w:rFonts w:asciiTheme="majorHAnsi" w:hAnsiTheme="majorHAnsi"/>
                <w:sz w:val="18"/>
                <w:szCs w:val="18"/>
              </w:rPr>
              <w:t xml:space="preserve">should </w:t>
            </w:r>
            <w:r w:rsidRPr="00EA0EA9">
              <w:rPr>
                <w:rFonts w:asciiTheme="majorHAnsi" w:hAnsiTheme="majorHAnsi"/>
                <w:sz w:val="18"/>
                <w:szCs w:val="18"/>
              </w:rPr>
              <w:t xml:space="preserve">develop, adopt and effectively implement a comprehensive national strategy to prevent and address all forms of violence against children and to protect and support child victims of violence. In developing such strategy, South Africa should: </w:t>
            </w:r>
          </w:p>
          <w:p w14:paraId="407D53D9" w14:textId="77777777" w:rsidR="00BD270E" w:rsidRPr="00EA0EA9" w:rsidRDefault="00BD270E" w:rsidP="00352B52">
            <w:pPr>
              <w:pStyle w:val="ListParagraph"/>
              <w:numPr>
                <w:ilvl w:val="0"/>
                <w:numId w:val="68"/>
              </w:numPr>
              <w:spacing w:line="276" w:lineRule="auto"/>
              <w:jc w:val="both"/>
              <w:rPr>
                <w:rFonts w:asciiTheme="majorHAnsi" w:hAnsiTheme="majorHAnsi"/>
                <w:sz w:val="18"/>
                <w:szCs w:val="18"/>
              </w:rPr>
            </w:pPr>
            <w:r w:rsidRPr="00EA0EA9">
              <w:rPr>
                <w:rFonts w:asciiTheme="majorHAnsi" w:hAnsiTheme="majorHAnsi"/>
                <w:sz w:val="18"/>
                <w:szCs w:val="18"/>
              </w:rPr>
              <w:t xml:space="preserve">Ensure that policy responses to violence are developed based on the analysis of objective data; </w:t>
            </w:r>
          </w:p>
          <w:p w14:paraId="23068A18" w14:textId="77777777" w:rsidR="00BD270E" w:rsidRPr="00EA0EA9" w:rsidRDefault="00BD270E" w:rsidP="00352B52">
            <w:pPr>
              <w:pStyle w:val="ListParagraph"/>
              <w:numPr>
                <w:ilvl w:val="0"/>
                <w:numId w:val="68"/>
              </w:numPr>
              <w:spacing w:line="276" w:lineRule="auto"/>
              <w:jc w:val="both"/>
              <w:rPr>
                <w:rFonts w:asciiTheme="majorHAnsi" w:hAnsiTheme="majorHAnsi"/>
                <w:sz w:val="18"/>
                <w:szCs w:val="18"/>
              </w:rPr>
            </w:pPr>
            <w:r w:rsidRPr="00EA0EA9">
              <w:rPr>
                <w:rFonts w:asciiTheme="majorHAnsi" w:hAnsiTheme="majorHAnsi"/>
                <w:sz w:val="18"/>
                <w:szCs w:val="18"/>
              </w:rPr>
              <w:t xml:space="preserve">Ensure meaningful participation of all stakeholders, including children and organizations working with children; </w:t>
            </w:r>
          </w:p>
          <w:p w14:paraId="4CEC8187" w14:textId="77777777" w:rsidR="00BD270E" w:rsidRPr="00EA0EA9" w:rsidRDefault="00BD270E" w:rsidP="00352B52">
            <w:pPr>
              <w:pStyle w:val="ListParagraph"/>
              <w:numPr>
                <w:ilvl w:val="0"/>
                <w:numId w:val="68"/>
              </w:numPr>
              <w:spacing w:line="276" w:lineRule="auto"/>
              <w:jc w:val="both"/>
              <w:rPr>
                <w:rFonts w:asciiTheme="majorHAnsi" w:hAnsiTheme="majorHAnsi"/>
                <w:sz w:val="18"/>
                <w:szCs w:val="18"/>
              </w:rPr>
            </w:pPr>
            <w:r w:rsidRPr="00EA0EA9">
              <w:rPr>
                <w:rFonts w:asciiTheme="majorHAnsi" w:hAnsiTheme="majorHAnsi"/>
                <w:sz w:val="18"/>
                <w:szCs w:val="18"/>
              </w:rPr>
              <w:t xml:space="preserve"> Address structural cases of violence, including inequality, poverty, alcohol and drug abuse and xenophobia; </w:t>
            </w:r>
          </w:p>
          <w:p w14:paraId="2831E479" w14:textId="77777777" w:rsidR="00954757" w:rsidRPr="00EA0EA9" w:rsidRDefault="00BD270E" w:rsidP="00352B52">
            <w:pPr>
              <w:pStyle w:val="ListParagraph"/>
              <w:numPr>
                <w:ilvl w:val="0"/>
                <w:numId w:val="68"/>
              </w:numPr>
              <w:spacing w:line="276" w:lineRule="auto"/>
              <w:jc w:val="both"/>
              <w:rPr>
                <w:rFonts w:asciiTheme="majorHAnsi" w:hAnsiTheme="majorHAnsi"/>
                <w:sz w:val="18"/>
                <w:szCs w:val="18"/>
              </w:rPr>
            </w:pPr>
            <w:r w:rsidRPr="00EA0EA9">
              <w:rPr>
                <w:rFonts w:asciiTheme="majorHAnsi" w:hAnsiTheme="majorHAnsi"/>
                <w:sz w:val="18"/>
                <w:szCs w:val="18"/>
              </w:rPr>
              <w:t xml:space="preserve">Pay due attention to groups of children at heightened risk of exposure to violence, including children living in rural areas and urban informal settlements, refugee, asylum-seeking, migrant and stateless children, children in street situations, children belonging to sexual minorities, children with disabilities, indigenous children and children with albinism. </w:t>
            </w:r>
          </w:p>
        </w:tc>
      </w:tr>
      <w:tr w:rsidR="00954757" w:rsidRPr="00EA0EA9" w14:paraId="5377D5AE" w14:textId="77777777" w:rsidTr="00E40808">
        <w:trPr>
          <w:trHeight w:val="133"/>
        </w:trPr>
        <w:tc>
          <w:tcPr>
            <w:tcW w:w="1951" w:type="dxa"/>
            <w:shd w:val="clear" w:color="auto" w:fill="D99594" w:themeFill="accent2" w:themeFillTint="99"/>
          </w:tcPr>
          <w:p w14:paraId="0B0146E5" w14:textId="77777777" w:rsidR="00EF3002" w:rsidRPr="00EA0EA9" w:rsidRDefault="00EF3002" w:rsidP="00E40808">
            <w:pPr>
              <w:spacing w:line="276" w:lineRule="auto"/>
              <w:jc w:val="both"/>
              <w:rPr>
                <w:rFonts w:asciiTheme="majorHAnsi" w:hAnsiTheme="majorHAnsi"/>
                <w:i/>
                <w:sz w:val="18"/>
                <w:szCs w:val="18"/>
              </w:rPr>
            </w:pPr>
            <w:r w:rsidRPr="00EA0EA9">
              <w:rPr>
                <w:rFonts w:asciiTheme="majorHAnsi" w:hAnsiTheme="majorHAnsi"/>
                <w:i/>
                <w:sz w:val="18"/>
                <w:szCs w:val="18"/>
              </w:rPr>
              <w:t xml:space="preserve">Administration of juvenile justice </w:t>
            </w:r>
          </w:p>
          <w:p w14:paraId="4B0970B8" w14:textId="77777777" w:rsidR="00954757" w:rsidRPr="00EA0EA9" w:rsidRDefault="00954757" w:rsidP="00E40808">
            <w:pPr>
              <w:spacing w:line="276" w:lineRule="auto"/>
              <w:jc w:val="both"/>
              <w:rPr>
                <w:rFonts w:asciiTheme="majorHAnsi" w:hAnsiTheme="majorHAnsi"/>
                <w:sz w:val="18"/>
                <w:szCs w:val="18"/>
              </w:rPr>
            </w:pPr>
          </w:p>
        </w:tc>
        <w:tc>
          <w:tcPr>
            <w:tcW w:w="11596" w:type="dxa"/>
            <w:shd w:val="clear" w:color="auto" w:fill="D99594" w:themeFill="accent2" w:themeFillTint="99"/>
          </w:tcPr>
          <w:p w14:paraId="44361F28" w14:textId="44C3D946" w:rsidR="00EF3002" w:rsidRPr="00EA0EA9" w:rsidRDefault="006A063A" w:rsidP="00E40808">
            <w:pPr>
              <w:spacing w:line="276" w:lineRule="auto"/>
              <w:jc w:val="both"/>
              <w:rPr>
                <w:rFonts w:asciiTheme="majorHAnsi" w:hAnsiTheme="majorHAnsi"/>
                <w:sz w:val="18"/>
                <w:szCs w:val="18"/>
              </w:rPr>
            </w:pPr>
            <w:r w:rsidRPr="00EA0EA9">
              <w:rPr>
                <w:rFonts w:asciiTheme="majorHAnsi" w:hAnsiTheme="majorHAnsi"/>
                <w:sz w:val="18"/>
                <w:szCs w:val="18"/>
              </w:rPr>
              <w:t xml:space="preserve">It is noteworthy </w:t>
            </w:r>
            <w:r w:rsidR="00EF3002" w:rsidRPr="00EA0EA9">
              <w:rPr>
                <w:rFonts w:asciiTheme="majorHAnsi" w:hAnsiTheme="majorHAnsi"/>
                <w:sz w:val="18"/>
                <w:szCs w:val="18"/>
              </w:rPr>
              <w:t>that the Child Justice Act (2008) raised the minimum age of criminal responsibility to 10 years. Howeve</w:t>
            </w:r>
            <w:r w:rsidRPr="00EA0EA9">
              <w:rPr>
                <w:rFonts w:asciiTheme="majorHAnsi" w:hAnsiTheme="majorHAnsi"/>
                <w:sz w:val="18"/>
                <w:szCs w:val="18"/>
              </w:rPr>
              <w:t xml:space="preserve">r, the following concerns </w:t>
            </w:r>
            <w:r w:rsidR="00C2372B" w:rsidRPr="00EA0EA9">
              <w:rPr>
                <w:rFonts w:asciiTheme="majorHAnsi" w:hAnsiTheme="majorHAnsi"/>
                <w:sz w:val="18"/>
                <w:szCs w:val="18"/>
              </w:rPr>
              <w:t>remain</w:t>
            </w:r>
            <w:r w:rsidR="00EF3002" w:rsidRPr="00EA0EA9">
              <w:rPr>
                <w:rFonts w:asciiTheme="majorHAnsi" w:hAnsiTheme="majorHAnsi"/>
                <w:sz w:val="18"/>
                <w:szCs w:val="18"/>
              </w:rPr>
              <w:t xml:space="preserve">: </w:t>
            </w:r>
          </w:p>
          <w:p w14:paraId="6B5612FA" w14:textId="77777777" w:rsidR="00EF3002" w:rsidRPr="00EA0EA9" w:rsidRDefault="00EF3002" w:rsidP="00352B52">
            <w:pPr>
              <w:pStyle w:val="ListParagraph"/>
              <w:numPr>
                <w:ilvl w:val="0"/>
                <w:numId w:val="69"/>
              </w:numPr>
              <w:spacing w:line="276" w:lineRule="auto"/>
              <w:jc w:val="both"/>
              <w:rPr>
                <w:rFonts w:asciiTheme="majorHAnsi" w:hAnsiTheme="majorHAnsi"/>
                <w:sz w:val="18"/>
                <w:szCs w:val="18"/>
              </w:rPr>
            </w:pPr>
            <w:r w:rsidRPr="00EA0EA9">
              <w:rPr>
                <w:rFonts w:asciiTheme="majorHAnsi" w:hAnsiTheme="majorHAnsi"/>
                <w:sz w:val="18"/>
                <w:szCs w:val="18"/>
              </w:rPr>
              <w:t xml:space="preserve">A legal minimum age of 10 years is still low; </w:t>
            </w:r>
          </w:p>
          <w:p w14:paraId="6022EBAB" w14:textId="77777777" w:rsidR="00EF3002" w:rsidRPr="00EA0EA9" w:rsidRDefault="00EF3002" w:rsidP="00352B52">
            <w:pPr>
              <w:pStyle w:val="ListParagraph"/>
              <w:numPr>
                <w:ilvl w:val="0"/>
                <w:numId w:val="69"/>
              </w:numPr>
              <w:spacing w:line="276" w:lineRule="auto"/>
              <w:jc w:val="both"/>
              <w:rPr>
                <w:rFonts w:asciiTheme="majorHAnsi" w:hAnsiTheme="majorHAnsi"/>
                <w:sz w:val="18"/>
                <w:szCs w:val="18"/>
              </w:rPr>
            </w:pPr>
            <w:r w:rsidRPr="00EA0EA9">
              <w:rPr>
                <w:rFonts w:asciiTheme="majorHAnsi" w:hAnsiTheme="majorHAnsi"/>
                <w:sz w:val="18"/>
                <w:szCs w:val="18"/>
              </w:rPr>
              <w:t xml:space="preserve">A large number of children are held in pre-trial detention, some for unduly lengthy periods of time; </w:t>
            </w:r>
          </w:p>
          <w:p w14:paraId="36B7D9DC" w14:textId="77777777" w:rsidR="00EF3002" w:rsidRPr="00EA0EA9" w:rsidRDefault="00EF3002" w:rsidP="00352B52">
            <w:pPr>
              <w:pStyle w:val="ListParagraph"/>
              <w:numPr>
                <w:ilvl w:val="0"/>
                <w:numId w:val="69"/>
              </w:numPr>
              <w:spacing w:line="276" w:lineRule="auto"/>
              <w:jc w:val="both"/>
              <w:rPr>
                <w:rFonts w:asciiTheme="majorHAnsi" w:hAnsiTheme="majorHAnsi"/>
                <w:sz w:val="18"/>
                <w:szCs w:val="18"/>
              </w:rPr>
            </w:pPr>
            <w:r w:rsidRPr="00EA0EA9">
              <w:rPr>
                <w:rFonts w:asciiTheme="majorHAnsi" w:hAnsiTheme="majorHAnsi"/>
                <w:sz w:val="18"/>
                <w:szCs w:val="18"/>
              </w:rPr>
              <w:t xml:space="preserve">There is a lack of access to educational, health and other services, especially for those in pre-trial detention; </w:t>
            </w:r>
          </w:p>
          <w:p w14:paraId="462DA57D" w14:textId="77777777" w:rsidR="00EF3002" w:rsidRPr="00EA0EA9" w:rsidRDefault="00EF3002" w:rsidP="00352B52">
            <w:pPr>
              <w:pStyle w:val="ListParagraph"/>
              <w:numPr>
                <w:ilvl w:val="0"/>
                <w:numId w:val="69"/>
              </w:numPr>
              <w:spacing w:line="276" w:lineRule="auto"/>
              <w:jc w:val="both"/>
              <w:rPr>
                <w:rFonts w:asciiTheme="majorHAnsi" w:hAnsiTheme="majorHAnsi"/>
                <w:sz w:val="18"/>
                <w:szCs w:val="18"/>
              </w:rPr>
            </w:pPr>
            <w:r w:rsidRPr="00EA0EA9">
              <w:rPr>
                <w:rFonts w:asciiTheme="majorHAnsi" w:hAnsiTheme="majorHAnsi"/>
                <w:sz w:val="18"/>
                <w:szCs w:val="18"/>
              </w:rPr>
              <w:t xml:space="preserve">Detention facilities are overcrowded. </w:t>
            </w:r>
          </w:p>
          <w:p w14:paraId="60327AB5" w14:textId="77777777" w:rsidR="00EF3002" w:rsidRPr="00EA0EA9" w:rsidRDefault="00EF3002" w:rsidP="00E40808">
            <w:pPr>
              <w:spacing w:line="276" w:lineRule="auto"/>
              <w:jc w:val="both"/>
              <w:rPr>
                <w:rFonts w:asciiTheme="majorHAnsi" w:hAnsiTheme="majorHAnsi"/>
                <w:sz w:val="18"/>
                <w:szCs w:val="18"/>
              </w:rPr>
            </w:pPr>
            <w:r w:rsidRPr="00EA0EA9">
              <w:rPr>
                <w:rFonts w:asciiTheme="majorHAnsi" w:hAnsiTheme="majorHAnsi"/>
                <w:sz w:val="18"/>
                <w:szCs w:val="18"/>
              </w:rPr>
              <w:lastRenderedPageBreak/>
              <w:t xml:space="preserve">With reference to children’s rights in juvenile justice, South Africa </w:t>
            </w:r>
            <w:r w:rsidR="0049573E" w:rsidRPr="00EA0EA9">
              <w:rPr>
                <w:rFonts w:asciiTheme="majorHAnsi" w:hAnsiTheme="majorHAnsi"/>
                <w:sz w:val="18"/>
                <w:szCs w:val="18"/>
              </w:rPr>
              <w:t xml:space="preserve">should </w:t>
            </w:r>
            <w:r w:rsidRPr="00EA0EA9">
              <w:rPr>
                <w:rFonts w:asciiTheme="majorHAnsi" w:hAnsiTheme="majorHAnsi"/>
                <w:sz w:val="18"/>
                <w:szCs w:val="18"/>
              </w:rPr>
              <w:t xml:space="preserve">provide effective implementation of national legislation, in line with international standards, in particular: </w:t>
            </w:r>
          </w:p>
          <w:p w14:paraId="0B9A6AD7" w14:textId="77777777" w:rsidR="00EF3002" w:rsidRPr="00EA0EA9" w:rsidRDefault="00EF3002" w:rsidP="00352B52">
            <w:pPr>
              <w:pStyle w:val="ListParagraph"/>
              <w:numPr>
                <w:ilvl w:val="0"/>
                <w:numId w:val="70"/>
              </w:numPr>
              <w:spacing w:line="276" w:lineRule="auto"/>
              <w:jc w:val="both"/>
              <w:rPr>
                <w:rFonts w:asciiTheme="majorHAnsi" w:hAnsiTheme="majorHAnsi"/>
                <w:sz w:val="18"/>
                <w:szCs w:val="18"/>
              </w:rPr>
            </w:pPr>
            <w:r w:rsidRPr="00EA0EA9">
              <w:rPr>
                <w:rFonts w:asciiTheme="majorHAnsi" w:hAnsiTheme="majorHAnsi"/>
                <w:sz w:val="18"/>
                <w:szCs w:val="18"/>
              </w:rPr>
              <w:t xml:space="preserve">Expedite the review of the minimum age of criminal responsibility with a view to raising it to an internationally acceptable level. </w:t>
            </w:r>
          </w:p>
          <w:p w14:paraId="3E0181F6" w14:textId="77777777" w:rsidR="00EF3002" w:rsidRPr="00EA0EA9" w:rsidRDefault="00EF3002" w:rsidP="00352B52">
            <w:pPr>
              <w:pStyle w:val="ListParagraph"/>
              <w:numPr>
                <w:ilvl w:val="0"/>
                <w:numId w:val="70"/>
              </w:numPr>
              <w:spacing w:line="276" w:lineRule="auto"/>
              <w:jc w:val="both"/>
              <w:rPr>
                <w:rFonts w:asciiTheme="majorHAnsi" w:hAnsiTheme="majorHAnsi"/>
                <w:sz w:val="18"/>
                <w:szCs w:val="18"/>
              </w:rPr>
            </w:pPr>
            <w:r w:rsidRPr="00EA0EA9">
              <w:rPr>
                <w:rFonts w:asciiTheme="majorHAnsi" w:hAnsiTheme="majorHAnsi"/>
                <w:sz w:val="18"/>
                <w:szCs w:val="18"/>
              </w:rPr>
              <w:t xml:space="preserve">Reduce the number of children held in pre-trial detention and ensure, by explicit legal provisions, that the competent court makes a final decision on the charges not later than six months after children are presented; </w:t>
            </w:r>
          </w:p>
          <w:p w14:paraId="5AE39B9F" w14:textId="77777777" w:rsidR="00EF3002" w:rsidRPr="00EA0EA9" w:rsidRDefault="00EF3002" w:rsidP="00352B52">
            <w:pPr>
              <w:pStyle w:val="ListParagraph"/>
              <w:numPr>
                <w:ilvl w:val="0"/>
                <w:numId w:val="70"/>
              </w:numPr>
              <w:spacing w:line="276" w:lineRule="auto"/>
              <w:jc w:val="both"/>
              <w:rPr>
                <w:rFonts w:asciiTheme="majorHAnsi" w:hAnsiTheme="majorHAnsi"/>
                <w:sz w:val="18"/>
                <w:szCs w:val="18"/>
              </w:rPr>
            </w:pPr>
            <w:r w:rsidRPr="00EA0EA9">
              <w:rPr>
                <w:rFonts w:asciiTheme="majorHAnsi" w:hAnsiTheme="majorHAnsi"/>
                <w:sz w:val="18"/>
                <w:szCs w:val="18"/>
              </w:rPr>
              <w:t xml:space="preserve">Guarantee access to education, health and other benefits to all children in detention, including those who are awaiting trial or have not been sentenced; </w:t>
            </w:r>
          </w:p>
          <w:p w14:paraId="68D61A1F" w14:textId="77777777" w:rsidR="00EF3002" w:rsidRPr="00EA0EA9" w:rsidRDefault="00EF3002" w:rsidP="00352B52">
            <w:pPr>
              <w:pStyle w:val="ListParagraph"/>
              <w:numPr>
                <w:ilvl w:val="0"/>
                <w:numId w:val="70"/>
              </w:numPr>
              <w:spacing w:line="276" w:lineRule="auto"/>
              <w:jc w:val="both"/>
              <w:rPr>
                <w:rFonts w:asciiTheme="majorHAnsi" w:hAnsiTheme="majorHAnsi"/>
                <w:sz w:val="18"/>
                <w:szCs w:val="18"/>
              </w:rPr>
            </w:pPr>
            <w:r w:rsidRPr="00EA0EA9">
              <w:rPr>
                <w:rFonts w:asciiTheme="majorHAnsi" w:hAnsiTheme="majorHAnsi"/>
                <w:sz w:val="18"/>
                <w:szCs w:val="18"/>
              </w:rPr>
              <w:t xml:space="preserve">Take immediate and necessary measures to reduce over-crowding. Child victims and witnesses of crimes </w:t>
            </w:r>
          </w:p>
          <w:p w14:paraId="78B4FEA9" w14:textId="77777777" w:rsidR="00EF3002" w:rsidRPr="00EA0EA9" w:rsidRDefault="000212FC" w:rsidP="00E40808">
            <w:pPr>
              <w:spacing w:line="276" w:lineRule="auto"/>
              <w:jc w:val="both"/>
              <w:rPr>
                <w:rFonts w:asciiTheme="majorHAnsi" w:hAnsiTheme="majorHAnsi"/>
                <w:sz w:val="18"/>
                <w:szCs w:val="18"/>
              </w:rPr>
            </w:pPr>
            <w:r w:rsidRPr="00EA0EA9">
              <w:rPr>
                <w:rFonts w:asciiTheme="majorHAnsi" w:hAnsiTheme="majorHAnsi"/>
                <w:sz w:val="18"/>
                <w:szCs w:val="18"/>
              </w:rPr>
              <w:t xml:space="preserve">There is </w:t>
            </w:r>
            <w:r w:rsidR="00EF3002" w:rsidRPr="00EA0EA9">
              <w:rPr>
                <w:rFonts w:asciiTheme="majorHAnsi" w:hAnsiTheme="majorHAnsi"/>
                <w:sz w:val="18"/>
                <w:szCs w:val="18"/>
              </w:rPr>
              <w:t>concern at the lack of a legal framework to protect the rights of child victims and witnesses of crimes and at the lack of quality support and rehabilitation services for them. The</w:t>
            </w:r>
            <w:r w:rsidR="00B47155" w:rsidRPr="00EA0EA9">
              <w:rPr>
                <w:rFonts w:asciiTheme="majorHAnsi" w:hAnsiTheme="majorHAnsi"/>
                <w:sz w:val="18"/>
                <w:szCs w:val="18"/>
              </w:rPr>
              <w:t xml:space="preserve">refore, </w:t>
            </w:r>
            <w:r w:rsidR="00EF3002" w:rsidRPr="00EA0EA9">
              <w:rPr>
                <w:rFonts w:asciiTheme="majorHAnsi" w:hAnsiTheme="majorHAnsi"/>
                <w:sz w:val="18"/>
                <w:szCs w:val="18"/>
              </w:rPr>
              <w:t>South Africa</w:t>
            </w:r>
            <w:r w:rsidR="00B47155" w:rsidRPr="00EA0EA9">
              <w:rPr>
                <w:rFonts w:asciiTheme="majorHAnsi" w:hAnsiTheme="majorHAnsi"/>
                <w:sz w:val="18"/>
                <w:szCs w:val="18"/>
              </w:rPr>
              <w:t xml:space="preserve"> should</w:t>
            </w:r>
            <w:r w:rsidR="00EF3002" w:rsidRPr="00EA0EA9">
              <w:rPr>
                <w:rFonts w:asciiTheme="majorHAnsi" w:hAnsiTheme="majorHAnsi"/>
                <w:sz w:val="18"/>
                <w:szCs w:val="18"/>
              </w:rPr>
              <w:t xml:space="preserve">: </w:t>
            </w:r>
          </w:p>
          <w:p w14:paraId="529A8CB5" w14:textId="77777777" w:rsidR="00EF3002" w:rsidRPr="00EA0EA9" w:rsidRDefault="00EF3002" w:rsidP="00352B52">
            <w:pPr>
              <w:pStyle w:val="ListParagraph"/>
              <w:numPr>
                <w:ilvl w:val="0"/>
                <w:numId w:val="71"/>
              </w:numPr>
              <w:spacing w:line="276" w:lineRule="auto"/>
              <w:jc w:val="both"/>
              <w:rPr>
                <w:rFonts w:asciiTheme="majorHAnsi" w:hAnsiTheme="majorHAnsi"/>
                <w:sz w:val="18"/>
                <w:szCs w:val="18"/>
              </w:rPr>
            </w:pPr>
            <w:r w:rsidRPr="00EA0EA9">
              <w:rPr>
                <w:rFonts w:asciiTheme="majorHAnsi" w:hAnsiTheme="majorHAnsi"/>
                <w:sz w:val="18"/>
                <w:szCs w:val="18"/>
              </w:rPr>
              <w:t xml:space="preserve">Consider developing legislation to protect and empower child victims and witnesses of crimes, addressing, among others, services for physical, psychological and social rehabilitation of victims; </w:t>
            </w:r>
          </w:p>
          <w:p w14:paraId="0E14EA94" w14:textId="77777777" w:rsidR="00954757" w:rsidRPr="00EA0EA9" w:rsidRDefault="00EF3002" w:rsidP="00352B52">
            <w:pPr>
              <w:pStyle w:val="ListParagraph"/>
              <w:numPr>
                <w:ilvl w:val="0"/>
                <w:numId w:val="71"/>
              </w:numPr>
              <w:spacing w:line="276" w:lineRule="auto"/>
              <w:jc w:val="both"/>
              <w:rPr>
                <w:rFonts w:asciiTheme="majorHAnsi" w:hAnsiTheme="majorHAnsi"/>
                <w:sz w:val="18"/>
                <w:szCs w:val="18"/>
              </w:rPr>
            </w:pPr>
            <w:r w:rsidRPr="00EA0EA9">
              <w:rPr>
                <w:rFonts w:asciiTheme="majorHAnsi" w:hAnsiTheme="majorHAnsi"/>
                <w:sz w:val="18"/>
                <w:szCs w:val="18"/>
              </w:rPr>
              <w:t>Allocate adequate human, technical and financial resources to the provision of rehabilitation and support services for child victims and witnesses of crimes in order to make them more sustainable and improve their quality.</w:t>
            </w:r>
          </w:p>
        </w:tc>
      </w:tr>
      <w:tr w:rsidR="00954757" w:rsidRPr="00EA0EA9" w14:paraId="3D93AED5" w14:textId="77777777" w:rsidTr="00E40808">
        <w:trPr>
          <w:trHeight w:val="133"/>
        </w:trPr>
        <w:tc>
          <w:tcPr>
            <w:tcW w:w="1951" w:type="dxa"/>
            <w:shd w:val="clear" w:color="auto" w:fill="D99594" w:themeFill="accent2" w:themeFillTint="99"/>
          </w:tcPr>
          <w:p w14:paraId="374D4A9B" w14:textId="77777777" w:rsidR="00197490" w:rsidRPr="00EA0EA9" w:rsidRDefault="00197490" w:rsidP="00E40808">
            <w:pPr>
              <w:spacing w:line="276" w:lineRule="auto"/>
              <w:jc w:val="both"/>
              <w:rPr>
                <w:rFonts w:asciiTheme="majorHAnsi" w:hAnsiTheme="majorHAnsi"/>
                <w:i/>
                <w:sz w:val="18"/>
                <w:szCs w:val="18"/>
              </w:rPr>
            </w:pPr>
            <w:r w:rsidRPr="00EA0EA9">
              <w:rPr>
                <w:rFonts w:asciiTheme="majorHAnsi" w:hAnsiTheme="majorHAnsi"/>
                <w:i/>
                <w:sz w:val="18"/>
                <w:szCs w:val="18"/>
              </w:rPr>
              <w:lastRenderedPageBreak/>
              <w:t xml:space="preserve">Cooperation with civil society </w:t>
            </w:r>
          </w:p>
          <w:p w14:paraId="2B33E058" w14:textId="77777777" w:rsidR="00954757" w:rsidRPr="00EA0EA9" w:rsidRDefault="00954757" w:rsidP="00E40808">
            <w:pPr>
              <w:spacing w:line="276" w:lineRule="auto"/>
              <w:jc w:val="both"/>
              <w:rPr>
                <w:rFonts w:asciiTheme="majorHAnsi" w:hAnsiTheme="majorHAnsi"/>
                <w:sz w:val="18"/>
                <w:szCs w:val="18"/>
              </w:rPr>
            </w:pPr>
          </w:p>
        </w:tc>
        <w:tc>
          <w:tcPr>
            <w:tcW w:w="11596" w:type="dxa"/>
            <w:shd w:val="clear" w:color="auto" w:fill="D99594" w:themeFill="accent2" w:themeFillTint="99"/>
          </w:tcPr>
          <w:p w14:paraId="0032671D" w14:textId="78A03528" w:rsidR="00197490" w:rsidRPr="00EA0EA9" w:rsidRDefault="00197490" w:rsidP="00E40808">
            <w:pPr>
              <w:spacing w:line="276" w:lineRule="auto"/>
              <w:jc w:val="both"/>
              <w:rPr>
                <w:rFonts w:asciiTheme="majorHAnsi" w:hAnsiTheme="majorHAnsi"/>
                <w:sz w:val="18"/>
                <w:szCs w:val="18"/>
              </w:rPr>
            </w:pPr>
            <w:r w:rsidRPr="00EA0EA9">
              <w:rPr>
                <w:rFonts w:asciiTheme="majorHAnsi" w:hAnsiTheme="majorHAnsi"/>
                <w:sz w:val="18"/>
                <w:szCs w:val="18"/>
              </w:rPr>
              <w:t xml:space="preserve">The </w:t>
            </w:r>
            <w:r w:rsidR="00722112">
              <w:rPr>
                <w:rFonts w:asciiTheme="majorHAnsi" w:hAnsiTheme="majorHAnsi"/>
                <w:sz w:val="18"/>
                <w:szCs w:val="18"/>
              </w:rPr>
              <w:t xml:space="preserve">South African </w:t>
            </w:r>
            <w:r w:rsidRPr="00EA0EA9">
              <w:rPr>
                <w:rFonts w:asciiTheme="majorHAnsi" w:hAnsiTheme="majorHAnsi"/>
                <w:sz w:val="18"/>
                <w:szCs w:val="18"/>
              </w:rPr>
              <w:t xml:space="preserve">Constitution guarantees the access by the public to central and local legislative bodies, and that civil society organizations play a key role in service delivery. However, it was concerned at: </w:t>
            </w:r>
          </w:p>
          <w:p w14:paraId="28AA8087" w14:textId="77777777" w:rsidR="00197490" w:rsidRPr="00EA0EA9" w:rsidRDefault="00197490" w:rsidP="00352B52">
            <w:pPr>
              <w:pStyle w:val="ListParagraph"/>
              <w:numPr>
                <w:ilvl w:val="0"/>
                <w:numId w:val="65"/>
              </w:numPr>
              <w:spacing w:line="276" w:lineRule="auto"/>
              <w:jc w:val="both"/>
              <w:rPr>
                <w:rFonts w:asciiTheme="majorHAnsi" w:hAnsiTheme="majorHAnsi"/>
                <w:sz w:val="18"/>
                <w:szCs w:val="18"/>
              </w:rPr>
            </w:pPr>
            <w:r w:rsidRPr="00EA0EA9">
              <w:rPr>
                <w:rFonts w:asciiTheme="majorHAnsi" w:hAnsiTheme="majorHAnsi"/>
                <w:sz w:val="18"/>
                <w:szCs w:val="18"/>
              </w:rPr>
              <w:t xml:space="preserve">Insufficient systematic involvement of civil society organizations working on children’s rights in the development of laws, policies and programmes relevant to the implementation of the Convention; </w:t>
            </w:r>
          </w:p>
          <w:p w14:paraId="30118F57" w14:textId="77777777" w:rsidR="00197490" w:rsidRPr="00EA0EA9" w:rsidRDefault="00197490" w:rsidP="00352B52">
            <w:pPr>
              <w:pStyle w:val="ListParagraph"/>
              <w:numPr>
                <w:ilvl w:val="0"/>
                <w:numId w:val="65"/>
              </w:numPr>
              <w:spacing w:line="276" w:lineRule="auto"/>
              <w:jc w:val="both"/>
              <w:rPr>
                <w:rFonts w:asciiTheme="majorHAnsi" w:hAnsiTheme="majorHAnsi"/>
                <w:sz w:val="18"/>
                <w:szCs w:val="18"/>
              </w:rPr>
            </w:pPr>
            <w:r w:rsidRPr="00EA0EA9">
              <w:rPr>
                <w:rFonts w:asciiTheme="majorHAnsi" w:hAnsiTheme="majorHAnsi"/>
                <w:sz w:val="18"/>
                <w:szCs w:val="18"/>
              </w:rPr>
              <w:t xml:space="preserve">Limited resources made available for civil society organizations working on children’s rights in service delivery. </w:t>
            </w:r>
          </w:p>
          <w:p w14:paraId="2CB4CBBB" w14:textId="1A5D629C" w:rsidR="00197490" w:rsidRPr="00EA0EA9" w:rsidRDefault="007672AB" w:rsidP="00E40808">
            <w:pPr>
              <w:spacing w:line="276" w:lineRule="auto"/>
              <w:jc w:val="both"/>
              <w:rPr>
                <w:rFonts w:asciiTheme="majorHAnsi" w:hAnsiTheme="majorHAnsi"/>
                <w:sz w:val="18"/>
                <w:szCs w:val="18"/>
              </w:rPr>
            </w:pPr>
            <w:r>
              <w:rPr>
                <w:rFonts w:asciiTheme="majorHAnsi" w:hAnsiTheme="majorHAnsi"/>
                <w:sz w:val="18"/>
                <w:szCs w:val="18"/>
              </w:rPr>
              <w:t xml:space="preserve">It is </w:t>
            </w:r>
            <w:r w:rsidR="00197490" w:rsidRPr="00EA0EA9">
              <w:rPr>
                <w:rFonts w:asciiTheme="majorHAnsi" w:hAnsiTheme="majorHAnsi"/>
                <w:sz w:val="18"/>
                <w:szCs w:val="18"/>
              </w:rPr>
              <w:t xml:space="preserve">recommended that South Africa: </w:t>
            </w:r>
          </w:p>
          <w:p w14:paraId="2EF89795" w14:textId="77777777" w:rsidR="00197490" w:rsidRPr="00EA0EA9" w:rsidRDefault="00197490" w:rsidP="00352B52">
            <w:pPr>
              <w:pStyle w:val="ListParagraph"/>
              <w:numPr>
                <w:ilvl w:val="0"/>
                <w:numId w:val="66"/>
              </w:numPr>
              <w:spacing w:line="276" w:lineRule="auto"/>
              <w:jc w:val="both"/>
              <w:rPr>
                <w:rFonts w:asciiTheme="majorHAnsi" w:hAnsiTheme="majorHAnsi"/>
                <w:sz w:val="18"/>
                <w:szCs w:val="18"/>
              </w:rPr>
            </w:pPr>
            <w:r w:rsidRPr="00EA0EA9">
              <w:rPr>
                <w:rFonts w:asciiTheme="majorHAnsi" w:hAnsiTheme="majorHAnsi"/>
                <w:sz w:val="18"/>
                <w:szCs w:val="18"/>
              </w:rPr>
              <w:t xml:space="preserve">Establish a strategy that enhances the active and meaningful participation of civil society organisations in the development, implementation and monitoring of laws, policies, budgets and programmes relevant to the implementation of the Convention, with transparent and non-discriminatory criteria for the identification of participating organizations, clear objectives and roles for civil society participation and financial support to enable their effective coordination and participation; </w:t>
            </w:r>
          </w:p>
          <w:p w14:paraId="11DBF005" w14:textId="77777777" w:rsidR="00954757" w:rsidRPr="00EA0EA9" w:rsidRDefault="00197490" w:rsidP="00352B52">
            <w:pPr>
              <w:pStyle w:val="ListParagraph"/>
              <w:numPr>
                <w:ilvl w:val="0"/>
                <w:numId w:val="66"/>
              </w:numPr>
              <w:spacing w:line="276" w:lineRule="auto"/>
              <w:jc w:val="both"/>
              <w:rPr>
                <w:rFonts w:asciiTheme="majorHAnsi" w:hAnsiTheme="majorHAnsi"/>
                <w:sz w:val="18"/>
                <w:szCs w:val="18"/>
              </w:rPr>
            </w:pPr>
            <w:r w:rsidRPr="00EA0EA9">
              <w:rPr>
                <w:rFonts w:asciiTheme="majorHAnsi" w:hAnsiTheme="majorHAnsi"/>
                <w:sz w:val="18"/>
                <w:szCs w:val="18"/>
              </w:rPr>
              <w:t xml:space="preserve">Provide sufficient resources to civil society organizations for the delivery of services for children. </w:t>
            </w:r>
          </w:p>
        </w:tc>
      </w:tr>
      <w:tr w:rsidR="00197490" w:rsidRPr="00EA0EA9" w14:paraId="6073751A" w14:textId="77777777" w:rsidTr="00E40808">
        <w:trPr>
          <w:trHeight w:val="133"/>
        </w:trPr>
        <w:tc>
          <w:tcPr>
            <w:tcW w:w="1951" w:type="dxa"/>
            <w:shd w:val="clear" w:color="auto" w:fill="D99594" w:themeFill="accent2" w:themeFillTint="99"/>
          </w:tcPr>
          <w:p w14:paraId="65A6F200" w14:textId="77777777" w:rsidR="00197490" w:rsidRPr="00EA0EA9" w:rsidRDefault="006C2086" w:rsidP="006C2086">
            <w:pPr>
              <w:spacing w:line="276" w:lineRule="auto"/>
              <w:jc w:val="both"/>
              <w:rPr>
                <w:rFonts w:asciiTheme="majorHAnsi" w:hAnsiTheme="majorHAnsi"/>
                <w:i/>
                <w:sz w:val="18"/>
                <w:szCs w:val="18"/>
              </w:rPr>
            </w:pPr>
            <w:r w:rsidRPr="00EA0EA9">
              <w:rPr>
                <w:rFonts w:asciiTheme="majorHAnsi" w:hAnsiTheme="majorHAnsi"/>
                <w:i/>
                <w:sz w:val="18"/>
                <w:szCs w:val="18"/>
              </w:rPr>
              <w:t xml:space="preserve">General principles on </w:t>
            </w:r>
            <w:r w:rsidR="00F607AA" w:rsidRPr="00EA0EA9">
              <w:rPr>
                <w:rFonts w:asciiTheme="majorHAnsi" w:hAnsiTheme="majorHAnsi"/>
                <w:i/>
                <w:sz w:val="18"/>
                <w:szCs w:val="18"/>
              </w:rPr>
              <w:t>Non-discrimination</w:t>
            </w:r>
          </w:p>
        </w:tc>
        <w:tc>
          <w:tcPr>
            <w:tcW w:w="11596" w:type="dxa"/>
            <w:shd w:val="clear" w:color="auto" w:fill="D99594" w:themeFill="accent2" w:themeFillTint="99"/>
          </w:tcPr>
          <w:p w14:paraId="509ED4EC" w14:textId="5148EE5F" w:rsidR="00F607AA" w:rsidRPr="00EA0EA9" w:rsidRDefault="00866EDB" w:rsidP="00E40808">
            <w:pPr>
              <w:spacing w:line="276" w:lineRule="auto"/>
              <w:jc w:val="both"/>
              <w:rPr>
                <w:rFonts w:asciiTheme="majorHAnsi" w:hAnsiTheme="majorHAnsi"/>
                <w:sz w:val="18"/>
                <w:szCs w:val="18"/>
              </w:rPr>
            </w:pPr>
            <w:r>
              <w:rPr>
                <w:rFonts w:asciiTheme="majorHAnsi" w:hAnsiTheme="majorHAnsi"/>
                <w:sz w:val="18"/>
                <w:szCs w:val="18"/>
              </w:rPr>
              <w:t xml:space="preserve">The </w:t>
            </w:r>
            <w:r w:rsidRPr="00EA0EA9">
              <w:rPr>
                <w:rFonts w:asciiTheme="majorHAnsi" w:hAnsiTheme="majorHAnsi"/>
                <w:sz w:val="18"/>
                <w:szCs w:val="18"/>
              </w:rPr>
              <w:t>discrimination</w:t>
            </w:r>
            <w:r w:rsidR="00F607AA" w:rsidRPr="00EA0EA9">
              <w:rPr>
                <w:rFonts w:asciiTheme="majorHAnsi" w:hAnsiTheme="majorHAnsi"/>
                <w:sz w:val="18"/>
                <w:szCs w:val="18"/>
              </w:rPr>
              <w:t xml:space="preserve"> faced by girls, children living with HIV/AIDS, children with disabilities, indigenous children, stateless children, migrant, asylum-seeking and refugee children, children in street situations, LGBTI children, and children with albinism, in accessing basic and child protection services, and their heightened exposure to violence, abuse and harassment. The Committee was also concerned at the serious divide in access to basic services and adequate standard of living in the country based on race, geography and economic status, with disproportionate disadvantage for children living in rural areas and in urban informal settlements. The Committee recommended that South Africa: </w:t>
            </w:r>
          </w:p>
          <w:p w14:paraId="785B434A" w14:textId="77777777" w:rsidR="00F607AA" w:rsidRPr="00EA0EA9" w:rsidRDefault="00F607AA" w:rsidP="00352B52">
            <w:pPr>
              <w:pStyle w:val="ListParagraph"/>
              <w:numPr>
                <w:ilvl w:val="0"/>
                <w:numId w:val="67"/>
              </w:numPr>
              <w:spacing w:line="276" w:lineRule="auto"/>
              <w:jc w:val="both"/>
              <w:rPr>
                <w:rFonts w:asciiTheme="majorHAnsi" w:hAnsiTheme="majorHAnsi"/>
                <w:sz w:val="18"/>
                <w:szCs w:val="18"/>
              </w:rPr>
            </w:pPr>
            <w:r w:rsidRPr="00EA0EA9">
              <w:rPr>
                <w:rFonts w:asciiTheme="majorHAnsi" w:hAnsiTheme="majorHAnsi"/>
                <w:sz w:val="18"/>
                <w:szCs w:val="18"/>
              </w:rPr>
              <w:t xml:space="preserve">Place strong focus on the eradication of structural inequality and discrimination in all legislative, policy and programmatic measures to advance the rights of the child, paying particular attention to children living with HIV/AIDS, children with disabilities, indigenous children, stateless children, migrant, asylum- seeking and refugee children, children in street situations, LGBTI children, children with albinism and the accumulative impact of multiple discrimination; </w:t>
            </w:r>
          </w:p>
          <w:p w14:paraId="60315AC1" w14:textId="77777777" w:rsidR="00197490" w:rsidRPr="00EA0EA9" w:rsidRDefault="00F607AA" w:rsidP="00352B52">
            <w:pPr>
              <w:pStyle w:val="ListParagraph"/>
              <w:numPr>
                <w:ilvl w:val="0"/>
                <w:numId w:val="67"/>
              </w:numPr>
              <w:spacing w:line="276" w:lineRule="auto"/>
              <w:jc w:val="both"/>
              <w:rPr>
                <w:rFonts w:asciiTheme="majorHAnsi" w:hAnsiTheme="majorHAnsi"/>
                <w:sz w:val="18"/>
                <w:szCs w:val="18"/>
              </w:rPr>
            </w:pPr>
            <w:r w:rsidRPr="00EA0EA9">
              <w:rPr>
                <w:rFonts w:asciiTheme="majorHAnsi" w:hAnsiTheme="majorHAnsi"/>
                <w:sz w:val="18"/>
                <w:szCs w:val="18"/>
              </w:rPr>
              <w:t xml:space="preserve">Enhance its efforts to raise awareness of children and the general public on gender equality and actively promote it in education from early childhood education in order to eradicate discriminatory gender-stereotype and gender discrimination. </w:t>
            </w:r>
          </w:p>
        </w:tc>
      </w:tr>
      <w:tr w:rsidR="00E40808" w:rsidRPr="00EA0EA9" w14:paraId="24BD3510" w14:textId="77777777" w:rsidTr="00E40808">
        <w:trPr>
          <w:trHeight w:val="133"/>
        </w:trPr>
        <w:tc>
          <w:tcPr>
            <w:tcW w:w="1951" w:type="dxa"/>
            <w:shd w:val="clear" w:color="auto" w:fill="D99594" w:themeFill="accent2" w:themeFillTint="99"/>
          </w:tcPr>
          <w:p w14:paraId="4860623A" w14:textId="77777777" w:rsidR="00E40808" w:rsidRPr="00EA0EA9" w:rsidRDefault="00E40808" w:rsidP="00E40808">
            <w:pPr>
              <w:spacing w:line="276" w:lineRule="auto"/>
              <w:jc w:val="both"/>
              <w:rPr>
                <w:rFonts w:asciiTheme="majorHAnsi" w:hAnsiTheme="majorHAnsi"/>
                <w:i/>
                <w:sz w:val="18"/>
                <w:szCs w:val="18"/>
              </w:rPr>
            </w:pPr>
            <w:r w:rsidRPr="00EA0EA9">
              <w:rPr>
                <w:rFonts w:asciiTheme="majorHAnsi" w:hAnsiTheme="majorHAnsi"/>
                <w:i/>
                <w:sz w:val="18"/>
                <w:szCs w:val="18"/>
              </w:rPr>
              <w:lastRenderedPageBreak/>
              <w:t xml:space="preserve">Corporal punishment </w:t>
            </w:r>
          </w:p>
          <w:p w14:paraId="34A5279C" w14:textId="77777777" w:rsidR="00E40808" w:rsidRPr="00EA0EA9" w:rsidRDefault="00E40808" w:rsidP="00E40808">
            <w:pPr>
              <w:spacing w:line="276" w:lineRule="auto"/>
              <w:jc w:val="both"/>
              <w:rPr>
                <w:rFonts w:asciiTheme="majorHAnsi" w:hAnsiTheme="majorHAnsi"/>
                <w:i/>
                <w:sz w:val="18"/>
                <w:szCs w:val="18"/>
              </w:rPr>
            </w:pPr>
          </w:p>
        </w:tc>
        <w:tc>
          <w:tcPr>
            <w:tcW w:w="11596" w:type="dxa"/>
            <w:shd w:val="clear" w:color="auto" w:fill="D99594" w:themeFill="accent2" w:themeFillTint="99"/>
          </w:tcPr>
          <w:p w14:paraId="3EED4BA9" w14:textId="4F920686" w:rsidR="00E40808" w:rsidRPr="00EA0EA9" w:rsidRDefault="005308EA" w:rsidP="00E40808">
            <w:pPr>
              <w:spacing w:line="276" w:lineRule="auto"/>
              <w:jc w:val="both"/>
              <w:rPr>
                <w:rFonts w:asciiTheme="majorHAnsi" w:hAnsiTheme="majorHAnsi"/>
                <w:sz w:val="18"/>
                <w:szCs w:val="18"/>
              </w:rPr>
            </w:pPr>
            <w:r>
              <w:rPr>
                <w:rFonts w:asciiTheme="majorHAnsi" w:hAnsiTheme="majorHAnsi"/>
                <w:sz w:val="18"/>
                <w:szCs w:val="18"/>
              </w:rPr>
              <w:t>It is welcoming that</w:t>
            </w:r>
            <w:r w:rsidR="00E40808" w:rsidRPr="00EA0EA9">
              <w:rPr>
                <w:rFonts w:asciiTheme="majorHAnsi" w:hAnsiTheme="majorHAnsi"/>
                <w:sz w:val="18"/>
                <w:szCs w:val="18"/>
              </w:rPr>
              <w:t xml:space="preserve"> the prohibition of corporal punishment of children in detention </w:t>
            </w:r>
            <w:r>
              <w:rPr>
                <w:rFonts w:asciiTheme="majorHAnsi" w:hAnsiTheme="majorHAnsi"/>
                <w:sz w:val="18"/>
                <w:szCs w:val="18"/>
              </w:rPr>
              <w:t>are</w:t>
            </w:r>
            <w:r w:rsidR="00E40808" w:rsidRPr="00EA0EA9">
              <w:rPr>
                <w:rFonts w:asciiTheme="majorHAnsi" w:hAnsiTheme="majorHAnsi"/>
                <w:sz w:val="18"/>
                <w:szCs w:val="18"/>
              </w:rPr>
              <w:t xml:space="preserve"> in alternative care settings under the Children’s Act (2005). However, it is concerned that corporal punishment in the home has not been prohibited and is widely practiced and that corporal punishment at school persists in practice despite the </w:t>
            </w:r>
            <w:r w:rsidR="003F32CD">
              <w:rPr>
                <w:rFonts w:asciiTheme="majorHAnsi" w:hAnsiTheme="majorHAnsi"/>
                <w:sz w:val="18"/>
                <w:szCs w:val="18"/>
              </w:rPr>
              <w:t>legal prohibition. It is also concerning that</w:t>
            </w:r>
            <w:r w:rsidR="00E40808" w:rsidRPr="00EA0EA9">
              <w:rPr>
                <w:rFonts w:asciiTheme="majorHAnsi" w:hAnsiTheme="majorHAnsi"/>
                <w:sz w:val="18"/>
                <w:szCs w:val="18"/>
              </w:rPr>
              <w:t xml:space="preserve"> the lack of data on incidents of corporal punish</w:t>
            </w:r>
            <w:r w:rsidR="003771EE" w:rsidRPr="00EA0EA9">
              <w:rPr>
                <w:rFonts w:asciiTheme="majorHAnsi" w:hAnsiTheme="majorHAnsi"/>
                <w:sz w:val="18"/>
                <w:szCs w:val="18"/>
              </w:rPr>
              <w:t xml:space="preserve">ment in child care facilities. </w:t>
            </w:r>
            <w:r w:rsidR="00E40808" w:rsidRPr="00EA0EA9">
              <w:rPr>
                <w:rFonts w:asciiTheme="majorHAnsi" w:hAnsiTheme="majorHAnsi"/>
                <w:sz w:val="18"/>
                <w:szCs w:val="18"/>
              </w:rPr>
              <w:t>With reference to</w:t>
            </w:r>
            <w:r w:rsidR="003F32CD">
              <w:rPr>
                <w:rFonts w:asciiTheme="majorHAnsi" w:hAnsiTheme="majorHAnsi"/>
                <w:sz w:val="18"/>
                <w:szCs w:val="18"/>
              </w:rPr>
              <w:t xml:space="preserve"> the issue of </w:t>
            </w:r>
            <w:r w:rsidR="00E40808" w:rsidRPr="00EA0EA9">
              <w:rPr>
                <w:rFonts w:asciiTheme="majorHAnsi" w:hAnsiTheme="majorHAnsi"/>
                <w:sz w:val="18"/>
                <w:szCs w:val="18"/>
              </w:rPr>
              <w:t>cor</w:t>
            </w:r>
            <w:r w:rsidR="003F32CD">
              <w:rPr>
                <w:rFonts w:asciiTheme="majorHAnsi" w:hAnsiTheme="majorHAnsi"/>
                <w:sz w:val="18"/>
                <w:szCs w:val="18"/>
              </w:rPr>
              <w:t xml:space="preserve">poral punishment, the it is </w:t>
            </w:r>
            <w:r w:rsidR="00E40808" w:rsidRPr="00EA0EA9">
              <w:rPr>
                <w:rFonts w:asciiTheme="majorHAnsi" w:hAnsiTheme="majorHAnsi"/>
                <w:sz w:val="18"/>
                <w:szCs w:val="18"/>
              </w:rPr>
              <w:t xml:space="preserve">recommended that South Africa: </w:t>
            </w:r>
          </w:p>
          <w:p w14:paraId="307C70E1" w14:textId="77777777" w:rsidR="003771EE" w:rsidRPr="00EA0EA9" w:rsidRDefault="00E40808" w:rsidP="00352B52">
            <w:pPr>
              <w:pStyle w:val="ListParagraph"/>
              <w:numPr>
                <w:ilvl w:val="0"/>
                <w:numId w:val="72"/>
              </w:numPr>
              <w:spacing w:line="276" w:lineRule="auto"/>
              <w:jc w:val="both"/>
              <w:rPr>
                <w:rFonts w:asciiTheme="majorHAnsi" w:hAnsiTheme="majorHAnsi"/>
                <w:sz w:val="18"/>
                <w:szCs w:val="18"/>
              </w:rPr>
            </w:pPr>
            <w:r w:rsidRPr="00EA0EA9">
              <w:rPr>
                <w:rFonts w:asciiTheme="majorHAnsi" w:hAnsiTheme="majorHAnsi"/>
                <w:sz w:val="18"/>
                <w:szCs w:val="18"/>
              </w:rPr>
              <w:t xml:space="preserve">Expedite the adoption of legislation to prohibit all forms of corporal punishment in the home, including “reasonable chastisement”; </w:t>
            </w:r>
          </w:p>
          <w:p w14:paraId="31034374" w14:textId="77777777" w:rsidR="003771EE" w:rsidRPr="00EA0EA9" w:rsidRDefault="00E40808" w:rsidP="00352B52">
            <w:pPr>
              <w:pStyle w:val="ListParagraph"/>
              <w:numPr>
                <w:ilvl w:val="0"/>
                <w:numId w:val="72"/>
              </w:numPr>
              <w:spacing w:line="276" w:lineRule="auto"/>
              <w:jc w:val="both"/>
              <w:rPr>
                <w:rFonts w:asciiTheme="majorHAnsi" w:hAnsiTheme="majorHAnsi"/>
                <w:sz w:val="18"/>
                <w:szCs w:val="18"/>
              </w:rPr>
            </w:pPr>
            <w:r w:rsidRPr="00EA0EA9">
              <w:rPr>
                <w:rFonts w:asciiTheme="majorHAnsi" w:hAnsiTheme="majorHAnsi"/>
                <w:sz w:val="18"/>
                <w:szCs w:val="18"/>
              </w:rPr>
              <w:t xml:space="preserve">Develop, adopt and implement a national strategy to prevent and eradicate all forms of corporal punishment; </w:t>
            </w:r>
          </w:p>
          <w:p w14:paraId="653F7934" w14:textId="77777777" w:rsidR="003771EE" w:rsidRPr="00EA0EA9" w:rsidRDefault="00E40808" w:rsidP="00352B52">
            <w:pPr>
              <w:pStyle w:val="ListParagraph"/>
              <w:numPr>
                <w:ilvl w:val="0"/>
                <w:numId w:val="72"/>
              </w:numPr>
              <w:spacing w:line="276" w:lineRule="auto"/>
              <w:jc w:val="both"/>
              <w:rPr>
                <w:rFonts w:asciiTheme="majorHAnsi" w:hAnsiTheme="majorHAnsi"/>
                <w:sz w:val="18"/>
                <w:szCs w:val="18"/>
              </w:rPr>
            </w:pPr>
            <w:r w:rsidRPr="00EA0EA9">
              <w:rPr>
                <w:rFonts w:asciiTheme="majorHAnsi" w:hAnsiTheme="majorHAnsi"/>
                <w:sz w:val="18"/>
                <w:szCs w:val="18"/>
              </w:rPr>
              <w:t xml:space="preserve">Strengthen its efforts to raise awareness and build capacity of families, communities, as well as professionals working for and with children, including teachers and care givers on positive, non-violent and participatory forms of child- rearing and discipline; </w:t>
            </w:r>
          </w:p>
          <w:p w14:paraId="4F19A558" w14:textId="77777777" w:rsidR="003771EE" w:rsidRPr="00EA0EA9" w:rsidRDefault="00E40808" w:rsidP="00352B52">
            <w:pPr>
              <w:pStyle w:val="ListParagraph"/>
              <w:numPr>
                <w:ilvl w:val="0"/>
                <w:numId w:val="72"/>
              </w:numPr>
              <w:spacing w:line="276" w:lineRule="auto"/>
              <w:jc w:val="both"/>
              <w:rPr>
                <w:rFonts w:asciiTheme="majorHAnsi" w:hAnsiTheme="majorHAnsi"/>
                <w:sz w:val="18"/>
                <w:szCs w:val="18"/>
              </w:rPr>
            </w:pPr>
            <w:r w:rsidRPr="00EA0EA9">
              <w:rPr>
                <w:rFonts w:asciiTheme="majorHAnsi" w:hAnsiTheme="majorHAnsi"/>
                <w:sz w:val="18"/>
                <w:szCs w:val="18"/>
              </w:rPr>
              <w:t xml:space="preserve">Regularly and systematically collect data on corporal punishment in all settings, including at home, in schools and child care facilities, and use such data as a basis for effective prevention and eradication of corporal punishment; </w:t>
            </w:r>
          </w:p>
          <w:p w14:paraId="25E8F890" w14:textId="77777777" w:rsidR="00E40808" w:rsidRPr="00EA0EA9" w:rsidRDefault="00E40808" w:rsidP="00352B52">
            <w:pPr>
              <w:pStyle w:val="ListParagraph"/>
              <w:numPr>
                <w:ilvl w:val="0"/>
                <w:numId w:val="72"/>
              </w:numPr>
              <w:spacing w:line="276" w:lineRule="auto"/>
              <w:jc w:val="both"/>
              <w:rPr>
                <w:rFonts w:asciiTheme="majorHAnsi" w:hAnsiTheme="majorHAnsi"/>
                <w:sz w:val="18"/>
                <w:szCs w:val="18"/>
              </w:rPr>
            </w:pPr>
            <w:r w:rsidRPr="00EA0EA9">
              <w:rPr>
                <w:rFonts w:asciiTheme="majorHAnsi" w:hAnsiTheme="majorHAnsi"/>
                <w:sz w:val="18"/>
                <w:szCs w:val="18"/>
              </w:rPr>
              <w:t xml:space="preserve">Promote regular consultations between students and teachers on how to deal with disciplinary issues in a human </w:t>
            </w:r>
            <w:proofErr w:type="gramStart"/>
            <w:r w:rsidRPr="00EA0EA9">
              <w:rPr>
                <w:rFonts w:asciiTheme="majorHAnsi" w:hAnsiTheme="majorHAnsi"/>
                <w:sz w:val="18"/>
                <w:szCs w:val="18"/>
              </w:rPr>
              <w:t>rights</w:t>
            </w:r>
            <w:proofErr w:type="gramEnd"/>
            <w:r w:rsidRPr="00EA0EA9">
              <w:rPr>
                <w:rFonts w:asciiTheme="majorHAnsi" w:hAnsiTheme="majorHAnsi"/>
                <w:sz w:val="18"/>
                <w:szCs w:val="18"/>
              </w:rPr>
              <w:t xml:space="preserve"> sensitive manner; Ensure that those who perpetrate corporal punishment are held accountable. </w:t>
            </w:r>
          </w:p>
          <w:p w14:paraId="75946CBF" w14:textId="27E4E875" w:rsidR="003771EE" w:rsidRPr="00EA0EA9" w:rsidRDefault="00EA4CE1" w:rsidP="003771EE">
            <w:pPr>
              <w:spacing w:line="276" w:lineRule="auto"/>
              <w:jc w:val="both"/>
              <w:rPr>
                <w:rFonts w:asciiTheme="majorHAnsi" w:hAnsiTheme="majorHAnsi"/>
                <w:sz w:val="18"/>
                <w:szCs w:val="18"/>
              </w:rPr>
            </w:pPr>
            <w:r>
              <w:rPr>
                <w:rFonts w:asciiTheme="majorHAnsi" w:hAnsiTheme="majorHAnsi"/>
                <w:sz w:val="18"/>
                <w:szCs w:val="18"/>
              </w:rPr>
              <w:t>T</w:t>
            </w:r>
            <w:r w:rsidR="00E40808" w:rsidRPr="00EA0EA9">
              <w:rPr>
                <w:rFonts w:asciiTheme="majorHAnsi" w:hAnsiTheme="majorHAnsi"/>
                <w:sz w:val="18"/>
                <w:szCs w:val="18"/>
              </w:rPr>
              <w:t>he development of a legislative, policy and institutional framework to fight gender-based violence</w:t>
            </w:r>
            <w:r w:rsidR="00BD2BE7">
              <w:rPr>
                <w:rFonts w:asciiTheme="majorHAnsi" w:hAnsiTheme="majorHAnsi"/>
                <w:sz w:val="18"/>
                <w:szCs w:val="18"/>
              </w:rPr>
              <w:t xml:space="preserve"> is welcoming</w:t>
            </w:r>
            <w:r w:rsidR="00E40808" w:rsidRPr="00EA0EA9">
              <w:rPr>
                <w:rFonts w:asciiTheme="majorHAnsi" w:hAnsiTheme="majorHAnsi"/>
                <w:sz w:val="18"/>
                <w:szCs w:val="18"/>
              </w:rPr>
              <w:t>. However, the</w:t>
            </w:r>
            <w:r w:rsidR="00BD2BE7">
              <w:rPr>
                <w:rFonts w:asciiTheme="majorHAnsi" w:hAnsiTheme="majorHAnsi"/>
                <w:sz w:val="18"/>
                <w:szCs w:val="18"/>
              </w:rPr>
              <w:t>re</w:t>
            </w:r>
            <w:r w:rsidR="00E40808" w:rsidRPr="00EA0EA9">
              <w:rPr>
                <w:rFonts w:asciiTheme="majorHAnsi" w:hAnsiTheme="majorHAnsi"/>
                <w:sz w:val="18"/>
                <w:szCs w:val="18"/>
              </w:rPr>
              <w:t xml:space="preserve"> is </w:t>
            </w:r>
            <w:r w:rsidR="00BD2BE7">
              <w:rPr>
                <w:rFonts w:asciiTheme="majorHAnsi" w:hAnsiTheme="majorHAnsi"/>
                <w:sz w:val="18"/>
                <w:szCs w:val="18"/>
              </w:rPr>
              <w:t xml:space="preserve">a </w:t>
            </w:r>
            <w:r w:rsidR="00E40808" w:rsidRPr="00EA0EA9">
              <w:rPr>
                <w:rFonts w:asciiTheme="majorHAnsi" w:hAnsiTheme="majorHAnsi"/>
                <w:sz w:val="18"/>
                <w:szCs w:val="18"/>
              </w:rPr>
              <w:t xml:space="preserve">serious concerned at: </w:t>
            </w:r>
          </w:p>
          <w:p w14:paraId="5A1CE3AE" w14:textId="77777777" w:rsidR="006C2086" w:rsidRPr="00EA0EA9" w:rsidRDefault="00E40808" w:rsidP="00352B52">
            <w:pPr>
              <w:pStyle w:val="ListParagraph"/>
              <w:numPr>
                <w:ilvl w:val="0"/>
                <w:numId w:val="73"/>
              </w:numPr>
              <w:spacing w:line="276" w:lineRule="auto"/>
              <w:jc w:val="both"/>
              <w:rPr>
                <w:rFonts w:asciiTheme="majorHAnsi" w:hAnsiTheme="majorHAnsi"/>
                <w:sz w:val="18"/>
                <w:szCs w:val="18"/>
              </w:rPr>
            </w:pPr>
            <w:r w:rsidRPr="00EA0EA9">
              <w:rPr>
                <w:rFonts w:asciiTheme="majorHAnsi" w:hAnsiTheme="majorHAnsi"/>
                <w:sz w:val="18"/>
                <w:szCs w:val="18"/>
              </w:rPr>
              <w:t xml:space="preserve">The high prevalence of gender-based violence against children, in particular in rural areas and urban informal settlements, both at home and in schools; </w:t>
            </w:r>
          </w:p>
          <w:p w14:paraId="215773A3" w14:textId="77777777" w:rsidR="006C2086" w:rsidRPr="00EA0EA9" w:rsidRDefault="00E40808" w:rsidP="00352B52">
            <w:pPr>
              <w:pStyle w:val="ListParagraph"/>
              <w:numPr>
                <w:ilvl w:val="0"/>
                <w:numId w:val="73"/>
              </w:numPr>
              <w:spacing w:line="276" w:lineRule="auto"/>
              <w:jc w:val="both"/>
              <w:rPr>
                <w:rFonts w:asciiTheme="majorHAnsi" w:hAnsiTheme="majorHAnsi"/>
                <w:sz w:val="18"/>
                <w:szCs w:val="18"/>
              </w:rPr>
            </w:pPr>
            <w:r w:rsidRPr="00EA0EA9">
              <w:rPr>
                <w:rFonts w:asciiTheme="majorHAnsi" w:hAnsiTheme="majorHAnsi"/>
                <w:sz w:val="18"/>
                <w:szCs w:val="18"/>
              </w:rPr>
              <w:t xml:space="preserve">The high prevalence of sexual violence and the low age of the victims, the majority of them being under 15 years of age, and with reportedly an increase of victims younger than 7 years of age; </w:t>
            </w:r>
          </w:p>
          <w:p w14:paraId="32FBFD7F" w14:textId="77777777" w:rsidR="006C2086" w:rsidRPr="00EA0EA9" w:rsidRDefault="00E40808" w:rsidP="00352B52">
            <w:pPr>
              <w:pStyle w:val="ListParagraph"/>
              <w:numPr>
                <w:ilvl w:val="0"/>
                <w:numId w:val="73"/>
              </w:numPr>
              <w:spacing w:line="276" w:lineRule="auto"/>
              <w:jc w:val="both"/>
              <w:rPr>
                <w:rFonts w:asciiTheme="majorHAnsi" w:hAnsiTheme="majorHAnsi"/>
                <w:sz w:val="18"/>
                <w:szCs w:val="18"/>
              </w:rPr>
            </w:pPr>
            <w:r w:rsidRPr="00EA0EA9">
              <w:rPr>
                <w:rFonts w:asciiTheme="majorHAnsi" w:hAnsiTheme="majorHAnsi"/>
                <w:sz w:val="18"/>
                <w:szCs w:val="18"/>
              </w:rPr>
              <w:t xml:space="preserve">The low rates of reporting, prosecution and conviction of perpetrators; </w:t>
            </w:r>
          </w:p>
          <w:p w14:paraId="0838BD58" w14:textId="77777777" w:rsidR="006C2086" w:rsidRPr="00EA0EA9" w:rsidRDefault="00E40808" w:rsidP="00352B52">
            <w:pPr>
              <w:pStyle w:val="ListParagraph"/>
              <w:numPr>
                <w:ilvl w:val="0"/>
                <w:numId w:val="73"/>
              </w:numPr>
              <w:spacing w:line="276" w:lineRule="auto"/>
              <w:jc w:val="both"/>
              <w:rPr>
                <w:rFonts w:asciiTheme="majorHAnsi" w:hAnsiTheme="majorHAnsi"/>
                <w:sz w:val="18"/>
                <w:szCs w:val="18"/>
              </w:rPr>
            </w:pPr>
            <w:r w:rsidRPr="00EA0EA9">
              <w:rPr>
                <w:rFonts w:asciiTheme="majorHAnsi" w:hAnsiTheme="majorHAnsi"/>
                <w:sz w:val="18"/>
                <w:szCs w:val="18"/>
              </w:rPr>
              <w:t xml:space="preserve">The Domestic Violence Act (1998) not typifying domestic violence as a criminal offence and being insufficiently gender-sensitive; </w:t>
            </w:r>
          </w:p>
          <w:p w14:paraId="03C48209" w14:textId="77777777" w:rsidR="00E40808" w:rsidRPr="00EA0EA9" w:rsidRDefault="00E40808" w:rsidP="00352B52">
            <w:pPr>
              <w:pStyle w:val="ListParagraph"/>
              <w:numPr>
                <w:ilvl w:val="0"/>
                <w:numId w:val="73"/>
              </w:numPr>
              <w:spacing w:line="276" w:lineRule="auto"/>
              <w:jc w:val="both"/>
              <w:rPr>
                <w:rFonts w:asciiTheme="majorHAnsi" w:hAnsiTheme="majorHAnsi"/>
                <w:sz w:val="18"/>
                <w:szCs w:val="18"/>
              </w:rPr>
            </w:pPr>
            <w:r w:rsidRPr="00EA0EA9">
              <w:rPr>
                <w:rFonts w:asciiTheme="majorHAnsi" w:hAnsiTheme="majorHAnsi"/>
                <w:sz w:val="18"/>
                <w:szCs w:val="18"/>
              </w:rPr>
              <w:t xml:space="preserve">The overall lack and regional disparity of support services to child victims, including emergency shelters, and heavy reliance for delivery of such services on civil society organizations. </w:t>
            </w:r>
          </w:p>
        </w:tc>
      </w:tr>
    </w:tbl>
    <w:p w14:paraId="09A97D95" w14:textId="77777777" w:rsidR="00F607AA" w:rsidRPr="00EA0EA9" w:rsidRDefault="00F607AA" w:rsidP="00747B8D">
      <w:pPr>
        <w:spacing w:line="276" w:lineRule="auto"/>
        <w:jc w:val="both"/>
        <w:rPr>
          <w:rFonts w:asciiTheme="majorHAnsi" w:hAnsiTheme="majorHAnsi"/>
        </w:rPr>
        <w:sectPr w:rsidR="00F607AA" w:rsidRPr="00EA0EA9" w:rsidSect="00120D2D">
          <w:pgSz w:w="16840" w:h="11900" w:orient="landscape"/>
          <w:pgMar w:top="1440" w:right="1440" w:bottom="1440" w:left="1440" w:header="709" w:footer="709" w:gutter="0"/>
          <w:cols w:space="720"/>
        </w:sectPr>
      </w:pPr>
    </w:p>
    <w:p w14:paraId="46437DA4" w14:textId="4EB9D9CB" w:rsidR="0053255E" w:rsidRDefault="00FE1E12" w:rsidP="00AA4AD1">
      <w:pPr>
        <w:pStyle w:val="Heading1"/>
        <w:numPr>
          <w:ilvl w:val="0"/>
          <w:numId w:val="75"/>
        </w:numPr>
        <w:jc w:val="both"/>
        <w:rPr>
          <w:rFonts w:eastAsia="Times New Roman"/>
          <w:color w:val="0000FF"/>
          <w:sz w:val="32"/>
          <w:lang w:eastAsia="en-GB"/>
        </w:rPr>
      </w:pPr>
      <w:bookmarkStart w:id="35" w:name="_Toc476983593"/>
      <w:r w:rsidRPr="00EA0EA9">
        <w:rPr>
          <w:rFonts w:eastAsia="Times New Roman"/>
          <w:color w:val="0000FF"/>
          <w:sz w:val="32"/>
          <w:lang w:eastAsia="en-GB"/>
        </w:rPr>
        <w:lastRenderedPageBreak/>
        <w:t xml:space="preserve">NPO/CSO </w:t>
      </w:r>
      <w:r w:rsidR="00385F3A" w:rsidRPr="00EA0EA9">
        <w:rPr>
          <w:rFonts w:eastAsia="Times New Roman"/>
          <w:color w:val="0000FF"/>
          <w:sz w:val="32"/>
          <w:lang w:eastAsia="en-GB"/>
        </w:rPr>
        <w:t>Operating Environment</w:t>
      </w:r>
      <w:bookmarkEnd w:id="35"/>
    </w:p>
    <w:p w14:paraId="4AE52706" w14:textId="77777777" w:rsidR="007206C3" w:rsidRPr="007206C3" w:rsidRDefault="007206C3" w:rsidP="007206C3">
      <w:pPr>
        <w:rPr>
          <w:lang w:eastAsia="en-GB"/>
        </w:rPr>
      </w:pPr>
    </w:p>
    <w:p w14:paraId="2637E57B" w14:textId="77777777" w:rsidR="00D7486E" w:rsidRPr="00702AB7" w:rsidRDefault="00D7486E" w:rsidP="00702AB7">
      <w:pPr>
        <w:pStyle w:val="Heading2"/>
        <w:numPr>
          <w:ilvl w:val="1"/>
          <w:numId w:val="75"/>
        </w:numPr>
        <w:jc w:val="both"/>
        <w:rPr>
          <w:i/>
          <w:color w:val="CC0000"/>
          <w:sz w:val="28"/>
        </w:rPr>
      </w:pPr>
      <w:bookmarkStart w:id="36" w:name="_Toc476983594"/>
      <w:r w:rsidRPr="00702AB7">
        <w:rPr>
          <w:i/>
          <w:color w:val="CC0000"/>
          <w:sz w:val="28"/>
        </w:rPr>
        <w:t xml:space="preserve">Overview of the </w:t>
      </w:r>
      <w:r w:rsidR="008F3E33" w:rsidRPr="00702AB7">
        <w:rPr>
          <w:i/>
          <w:color w:val="CC0000"/>
          <w:sz w:val="28"/>
        </w:rPr>
        <w:t>Types of NPO/CSO V</w:t>
      </w:r>
      <w:r w:rsidRPr="00702AB7">
        <w:rPr>
          <w:i/>
          <w:color w:val="CC0000"/>
          <w:sz w:val="28"/>
        </w:rPr>
        <w:t>ehicles</w:t>
      </w:r>
      <w:bookmarkEnd w:id="36"/>
    </w:p>
    <w:p w14:paraId="496B5E8C" w14:textId="77777777" w:rsidR="00382E47" w:rsidRPr="00EA0EA9" w:rsidRDefault="00382E47" w:rsidP="004A07B4">
      <w:pPr>
        <w:spacing w:line="276" w:lineRule="auto"/>
        <w:jc w:val="both"/>
        <w:rPr>
          <w:rFonts w:ascii="Cambria" w:hAnsi="Cambria"/>
        </w:rPr>
      </w:pPr>
      <w:r w:rsidRPr="00EA0EA9">
        <w:rPr>
          <w:rFonts w:ascii="Cambria" w:hAnsi="Cambria"/>
        </w:rPr>
        <w:t>This category includes non-profit organisations (NPO)</w:t>
      </w:r>
      <w:r w:rsidRPr="00EA0EA9">
        <w:rPr>
          <w:rFonts w:ascii="Cambria" w:hAnsi="Cambria"/>
          <w:vertAlign w:val="superscript"/>
        </w:rPr>
        <w:footnoteReference w:id="15"/>
      </w:r>
      <w:r w:rsidRPr="00EA0EA9">
        <w:rPr>
          <w:rFonts w:ascii="Cambria" w:hAnsi="Cambria"/>
        </w:rPr>
        <w:t>, grant-making foundations, family trusts and other entities suc</w:t>
      </w:r>
      <w:r w:rsidR="00120D2D" w:rsidRPr="00EA0EA9">
        <w:rPr>
          <w:rFonts w:ascii="Cambria" w:hAnsi="Cambria"/>
        </w:rPr>
        <w:t>h as high net worth individuals</w:t>
      </w:r>
      <w:r w:rsidRPr="00EA0EA9">
        <w:rPr>
          <w:rFonts w:ascii="Cambria" w:hAnsi="Cambria"/>
        </w:rPr>
        <w:t xml:space="preserve">. Non-profit organisations are legally classified as voluntary associations, trusts and Section 21 Companies. </w:t>
      </w:r>
    </w:p>
    <w:p w14:paraId="371709E9" w14:textId="77777777" w:rsidR="006A3F52" w:rsidRPr="00EA0EA9" w:rsidRDefault="006A3F52" w:rsidP="00382E47">
      <w:pPr>
        <w:jc w:val="both"/>
        <w:rPr>
          <w:rFonts w:ascii="Cambria" w:hAnsi="Cambria"/>
        </w:rPr>
      </w:pPr>
    </w:p>
    <w:p w14:paraId="09E3FC73" w14:textId="276B1B0B" w:rsidR="004D1CCA" w:rsidRPr="00D16A33" w:rsidRDefault="00D16A33" w:rsidP="00D16A33">
      <w:pPr>
        <w:pStyle w:val="Caption"/>
        <w:rPr>
          <w:rFonts w:asciiTheme="majorHAnsi" w:hAnsiTheme="majorHAnsi"/>
          <w:color w:val="auto"/>
          <w:sz w:val="28"/>
        </w:rPr>
      </w:pPr>
      <w:bookmarkStart w:id="37" w:name="_Toc476984142"/>
      <w:r w:rsidRPr="00D16A33">
        <w:rPr>
          <w:rFonts w:asciiTheme="majorHAnsi" w:hAnsiTheme="majorHAnsi"/>
          <w:color w:val="auto"/>
          <w:sz w:val="22"/>
        </w:rPr>
        <w:t xml:space="preserve">Table </w:t>
      </w:r>
      <w:r w:rsidRPr="00D16A33">
        <w:rPr>
          <w:rFonts w:asciiTheme="majorHAnsi" w:hAnsiTheme="majorHAnsi"/>
          <w:color w:val="auto"/>
          <w:sz w:val="22"/>
        </w:rPr>
        <w:fldChar w:fldCharType="begin"/>
      </w:r>
      <w:r w:rsidRPr="00D16A33">
        <w:rPr>
          <w:rFonts w:asciiTheme="majorHAnsi" w:hAnsiTheme="majorHAnsi"/>
          <w:color w:val="auto"/>
          <w:sz w:val="22"/>
        </w:rPr>
        <w:instrText xml:space="preserve"> SEQ Table \* ARABIC </w:instrText>
      </w:r>
      <w:r w:rsidRPr="00D16A33">
        <w:rPr>
          <w:rFonts w:asciiTheme="majorHAnsi" w:hAnsiTheme="majorHAnsi"/>
          <w:color w:val="auto"/>
          <w:sz w:val="22"/>
        </w:rPr>
        <w:fldChar w:fldCharType="separate"/>
      </w:r>
      <w:r w:rsidR="00533681">
        <w:rPr>
          <w:rFonts w:asciiTheme="majorHAnsi" w:hAnsiTheme="majorHAnsi"/>
          <w:noProof/>
          <w:color w:val="auto"/>
          <w:sz w:val="22"/>
        </w:rPr>
        <w:t>3</w:t>
      </w:r>
      <w:r w:rsidRPr="00D16A33">
        <w:rPr>
          <w:rFonts w:asciiTheme="majorHAnsi" w:hAnsiTheme="majorHAnsi"/>
          <w:color w:val="auto"/>
          <w:sz w:val="22"/>
        </w:rPr>
        <w:fldChar w:fldCharType="end"/>
      </w:r>
      <w:r w:rsidRPr="00D16A33">
        <w:rPr>
          <w:rFonts w:asciiTheme="majorHAnsi" w:hAnsiTheme="majorHAnsi"/>
          <w:color w:val="auto"/>
          <w:sz w:val="22"/>
        </w:rPr>
        <w:t>:Types of NPOs in South Africa</w:t>
      </w:r>
      <w:bookmarkEnd w:id="37"/>
    </w:p>
    <w:tbl>
      <w:tblPr>
        <w:tblW w:w="92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6582"/>
      </w:tblGrid>
      <w:tr w:rsidR="00382E47" w:rsidRPr="00EA0EA9" w14:paraId="125FC7BE" w14:textId="77777777" w:rsidTr="006C2086">
        <w:trPr>
          <w:trHeight w:val="253"/>
        </w:trPr>
        <w:tc>
          <w:tcPr>
            <w:tcW w:w="2660" w:type="dxa"/>
            <w:shd w:val="clear" w:color="auto" w:fill="000000"/>
            <w:tcMar>
              <w:top w:w="80" w:type="dxa"/>
              <w:left w:w="80" w:type="dxa"/>
              <w:bottom w:w="80" w:type="dxa"/>
              <w:right w:w="80" w:type="dxa"/>
            </w:tcMar>
          </w:tcPr>
          <w:p w14:paraId="0A58823A" w14:textId="77777777" w:rsidR="00382E47" w:rsidRPr="00EA0EA9" w:rsidRDefault="00382E47" w:rsidP="0097305B">
            <w:pPr>
              <w:jc w:val="both"/>
              <w:rPr>
                <w:rFonts w:ascii="Cambria" w:hAnsi="Cambria"/>
              </w:rPr>
            </w:pPr>
            <w:r w:rsidRPr="00EA0EA9">
              <w:rPr>
                <w:rFonts w:ascii="Cambria" w:hAnsi="Cambria"/>
                <w:b/>
                <w:bCs/>
                <w:sz w:val="22"/>
              </w:rPr>
              <w:t>Type of NPO</w:t>
            </w:r>
          </w:p>
        </w:tc>
        <w:tc>
          <w:tcPr>
            <w:tcW w:w="6582" w:type="dxa"/>
            <w:shd w:val="clear" w:color="auto" w:fill="000000"/>
            <w:tcMar>
              <w:top w:w="80" w:type="dxa"/>
              <w:left w:w="80" w:type="dxa"/>
              <w:bottom w:w="80" w:type="dxa"/>
              <w:right w:w="80" w:type="dxa"/>
            </w:tcMar>
          </w:tcPr>
          <w:p w14:paraId="00889243" w14:textId="77777777" w:rsidR="00382E47" w:rsidRPr="00EA0EA9" w:rsidRDefault="00382E47" w:rsidP="0097305B">
            <w:pPr>
              <w:jc w:val="both"/>
              <w:rPr>
                <w:rFonts w:ascii="Cambria" w:hAnsi="Cambria"/>
              </w:rPr>
            </w:pPr>
            <w:r w:rsidRPr="00EA0EA9">
              <w:rPr>
                <w:rFonts w:ascii="Cambria" w:hAnsi="Cambria"/>
                <w:b/>
                <w:bCs/>
                <w:sz w:val="22"/>
              </w:rPr>
              <w:t xml:space="preserve">Characteristics/ requirements </w:t>
            </w:r>
          </w:p>
        </w:tc>
      </w:tr>
      <w:tr w:rsidR="00382E47" w:rsidRPr="00EA0EA9" w14:paraId="40D276A9" w14:textId="77777777" w:rsidTr="006C2086">
        <w:trPr>
          <w:trHeight w:val="1453"/>
        </w:trPr>
        <w:tc>
          <w:tcPr>
            <w:tcW w:w="2660" w:type="dxa"/>
            <w:shd w:val="clear" w:color="auto" w:fill="C0C0C0"/>
            <w:tcMar>
              <w:top w:w="80" w:type="dxa"/>
              <w:left w:w="80" w:type="dxa"/>
              <w:bottom w:w="80" w:type="dxa"/>
              <w:right w:w="80" w:type="dxa"/>
            </w:tcMar>
          </w:tcPr>
          <w:p w14:paraId="7F7E8EB9" w14:textId="77777777" w:rsidR="00382E47" w:rsidRPr="00EA0EA9" w:rsidRDefault="00382E47" w:rsidP="0097305B">
            <w:pPr>
              <w:jc w:val="both"/>
              <w:rPr>
                <w:rFonts w:ascii="Cambria" w:hAnsi="Cambria"/>
              </w:rPr>
            </w:pPr>
            <w:r w:rsidRPr="00EA0EA9">
              <w:rPr>
                <w:rFonts w:ascii="Cambria" w:hAnsi="Cambria"/>
                <w:b/>
                <w:bCs/>
                <w:sz w:val="22"/>
              </w:rPr>
              <w:t xml:space="preserve">Voluntary Association </w:t>
            </w:r>
          </w:p>
        </w:tc>
        <w:tc>
          <w:tcPr>
            <w:tcW w:w="6582" w:type="dxa"/>
            <w:shd w:val="clear" w:color="auto" w:fill="C0C0C0"/>
            <w:tcMar>
              <w:top w:w="80" w:type="dxa"/>
              <w:left w:w="80" w:type="dxa"/>
              <w:bottom w:w="80" w:type="dxa"/>
              <w:right w:w="80" w:type="dxa"/>
            </w:tcMar>
          </w:tcPr>
          <w:p w14:paraId="35365E95" w14:textId="77777777" w:rsidR="00382E47" w:rsidRPr="00EA0EA9" w:rsidRDefault="00382E47" w:rsidP="00352B52">
            <w:pPr>
              <w:numPr>
                <w:ilvl w:val="0"/>
                <w:numId w:val="14"/>
              </w:numPr>
              <w:jc w:val="both"/>
              <w:rPr>
                <w:rFonts w:ascii="Cambria" w:hAnsi="Cambria"/>
              </w:rPr>
            </w:pPr>
            <w:r w:rsidRPr="00EA0EA9">
              <w:rPr>
                <w:rFonts w:ascii="Cambria" w:hAnsi="Cambria"/>
                <w:sz w:val="22"/>
              </w:rPr>
              <w:t xml:space="preserve">An agreement (verbal or written) between three or more people to achieve a common objective (other than the making of profits) </w:t>
            </w:r>
          </w:p>
          <w:p w14:paraId="01D756AB" w14:textId="77777777" w:rsidR="00382E47" w:rsidRPr="00EA0EA9" w:rsidRDefault="00382E47" w:rsidP="00352B52">
            <w:pPr>
              <w:numPr>
                <w:ilvl w:val="0"/>
                <w:numId w:val="15"/>
              </w:numPr>
              <w:jc w:val="both"/>
              <w:rPr>
                <w:rFonts w:ascii="Cambria" w:hAnsi="Cambria"/>
              </w:rPr>
            </w:pPr>
            <w:r w:rsidRPr="00EA0EA9">
              <w:rPr>
                <w:rFonts w:ascii="Cambria" w:hAnsi="Cambria"/>
                <w:sz w:val="22"/>
              </w:rPr>
              <w:t>A common structure for small or informal community-based initiatives</w:t>
            </w:r>
          </w:p>
          <w:p w14:paraId="3D249E1C" w14:textId="77777777" w:rsidR="00382E47" w:rsidRPr="00EA0EA9" w:rsidRDefault="00382E47" w:rsidP="00352B52">
            <w:pPr>
              <w:numPr>
                <w:ilvl w:val="0"/>
                <w:numId w:val="16"/>
              </w:numPr>
              <w:jc w:val="both"/>
              <w:rPr>
                <w:rFonts w:ascii="Cambria" w:hAnsi="Cambria"/>
              </w:rPr>
            </w:pPr>
            <w:r w:rsidRPr="00EA0EA9">
              <w:rPr>
                <w:rFonts w:ascii="Cambria" w:hAnsi="Cambria"/>
                <w:sz w:val="22"/>
              </w:rPr>
              <w:t>Product of common law, not regulated by statute</w:t>
            </w:r>
          </w:p>
        </w:tc>
      </w:tr>
      <w:tr w:rsidR="00382E47" w:rsidRPr="00EA0EA9" w14:paraId="338EDE8A" w14:textId="77777777" w:rsidTr="006C2086">
        <w:trPr>
          <w:trHeight w:val="2173"/>
        </w:trPr>
        <w:tc>
          <w:tcPr>
            <w:tcW w:w="2660" w:type="dxa"/>
            <w:shd w:val="clear" w:color="auto" w:fill="auto"/>
            <w:tcMar>
              <w:top w:w="80" w:type="dxa"/>
              <w:left w:w="80" w:type="dxa"/>
              <w:bottom w:w="80" w:type="dxa"/>
              <w:right w:w="80" w:type="dxa"/>
            </w:tcMar>
          </w:tcPr>
          <w:p w14:paraId="651EFDBF" w14:textId="77777777" w:rsidR="00382E47" w:rsidRPr="00EA0EA9" w:rsidRDefault="00382E47" w:rsidP="0097305B">
            <w:pPr>
              <w:jc w:val="both"/>
              <w:rPr>
                <w:rFonts w:ascii="Cambria" w:hAnsi="Cambria"/>
                <w:b/>
                <w:bCs/>
              </w:rPr>
            </w:pPr>
            <w:r w:rsidRPr="00EA0EA9">
              <w:rPr>
                <w:rFonts w:ascii="Cambria" w:hAnsi="Cambria"/>
                <w:b/>
                <w:bCs/>
                <w:sz w:val="22"/>
              </w:rPr>
              <w:t>Trusts (Non-profit trusts)</w:t>
            </w:r>
          </w:p>
          <w:p w14:paraId="70F965BF" w14:textId="77777777" w:rsidR="00382E47" w:rsidRPr="00EA0EA9" w:rsidRDefault="00382E47" w:rsidP="0097305B">
            <w:pPr>
              <w:jc w:val="both"/>
              <w:rPr>
                <w:rFonts w:ascii="Cambria" w:hAnsi="Cambria"/>
              </w:rPr>
            </w:pPr>
            <w:r w:rsidRPr="00EA0EA9">
              <w:rPr>
                <w:rFonts w:ascii="Cambria" w:hAnsi="Cambria"/>
                <w:i/>
                <w:iCs/>
                <w:sz w:val="22"/>
              </w:rPr>
              <w:t>Trust Properties Control Act 57 of 1988</w:t>
            </w:r>
          </w:p>
        </w:tc>
        <w:tc>
          <w:tcPr>
            <w:tcW w:w="6582" w:type="dxa"/>
            <w:shd w:val="clear" w:color="auto" w:fill="auto"/>
            <w:tcMar>
              <w:top w:w="80" w:type="dxa"/>
              <w:left w:w="80" w:type="dxa"/>
              <w:bottom w:w="80" w:type="dxa"/>
              <w:right w:w="80" w:type="dxa"/>
            </w:tcMar>
          </w:tcPr>
          <w:p w14:paraId="2AC136AA" w14:textId="77777777" w:rsidR="00382E47" w:rsidRPr="00EA0EA9" w:rsidRDefault="00382E47" w:rsidP="00352B52">
            <w:pPr>
              <w:numPr>
                <w:ilvl w:val="0"/>
                <w:numId w:val="17"/>
              </w:numPr>
              <w:jc w:val="both"/>
              <w:rPr>
                <w:rFonts w:ascii="Cambria" w:hAnsi="Cambria"/>
              </w:rPr>
            </w:pPr>
            <w:r w:rsidRPr="00EA0EA9">
              <w:rPr>
                <w:rFonts w:ascii="Cambria" w:hAnsi="Cambria"/>
                <w:sz w:val="22"/>
              </w:rPr>
              <w:t>Formed when ownership is transferred to another party to be administered for the benefit of certain persons or the achievement of a particular goal</w:t>
            </w:r>
          </w:p>
          <w:p w14:paraId="515AEF59" w14:textId="77777777" w:rsidR="00382E47" w:rsidRPr="00EA0EA9" w:rsidRDefault="00382E47" w:rsidP="00352B52">
            <w:pPr>
              <w:numPr>
                <w:ilvl w:val="0"/>
                <w:numId w:val="18"/>
              </w:numPr>
              <w:jc w:val="both"/>
              <w:rPr>
                <w:rFonts w:ascii="Cambria" w:hAnsi="Cambria"/>
              </w:rPr>
            </w:pPr>
            <w:r w:rsidRPr="00EA0EA9">
              <w:rPr>
                <w:rFonts w:ascii="Cambria" w:hAnsi="Cambria"/>
                <w:sz w:val="22"/>
              </w:rPr>
              <w:t>Property can be transferred by written agreement, testamentary writing or court order</w:t>
            </w:r>
          </w:p>
          <w:p w14:paraId="289D1023" w14:textId="77777777" w:rsidR="00382E47" w:rsidRPr="00EA0EA9" w:rsidRDefault="00382E47" w:rsidP="00352B52">
            <w:pPr>
              <w:numPr>
                <w:ilvl w:val="0"/>
                <w:numId w:val="19"/>
              </w:numPr>
              <w:jc w:val="both"/>
              <w:rPr>
                <w:rFonts w:ascii="Cambria" w:hAnsi="Cambria"/>
              </w:rPr>
            </w:pPr>
            <w:r w:rsidRPr="00EA0EA9">
              <w:rPr>
                <w:rFonts w:ascii="Cambria" w:hAnsi="Cambria"/>
                <w:sz w:val="22"/>
              </w:rPr>
              <w:t xml:space="preserve">Administrator of the trust is called a </w:t>
            </w:r>
            <w:r w:rsidRPr="00EA0EA9">
              <w:rPr>
                <w:rFonts w:ascii="Cambria" w:hAnsi="Cambria"/>
                <w:i/>
                <w:iCs/>
                <w:sz w:val="22"/>
              </w:rPr>
              <w:t>trustee</w:t>
            </w:r>
          </w:p>
          <w:p w14:paraId="2C80CA49" w14:textId="77777777" w:rsidR="00382E47" w:rsidRPr="00EA0EA9" w:rsidRDefault="00382E47" w:rsidP="00352B52">
            <w:pPr>
              <w:numPr>
                <w:ilvl w:val="0"/>
                <w:numId w:val="20"/>
              </w:numPr>
              <w:jc w:val="both"/>
              <w:rPr>
                <w:rFonts w:ascii="Cambria" w:hAnsi="Cambria"/>
              </w:rPr>
            </w:pPr>
            <w:r w:rsidRPr="00EA0EA9">
              <w:rPr>
                <w:rFonts w:ascii="Cambria" w:hAnsi="Cambria"/>
                <w:sz w:val="22"/>
              </w:rPr>
              <w:t>Trusts are established for private benefit or public purpose</w:t>
            </w:r>
          </w:p>
          <w:p w14:paraId="63DD1581" w14:textId="77777777" w:rsidR="00382E47" w:rsidRPr="00EA0EA9" w:rsidRDefault="00382E47" w:rsidP="00352B52">
            <w:pPr>
              <w:numPr>
                <w:ilvl w:val="0"/>
                <w:numId w:val="21"/>
              </w:numPr>
              <w:jc w:val="both"/>
              <w:rPr>
                <w:rFonts w:ascii="Cambria" w:hAnsi="Cambria"/>
              </w:rPr>
            </w:pPr>
            <w:r w:rsidRPr="00EA0EA9">
              <w:rPr>
                <w:rFonts w:ascii="Cambria" w:hAnsi="Cambria"/>
                <w:sz w:val="22"/>
              </w:rPr>
              <w:t xml:space="preserve">Property of trusts is held in name of trustees (Trust Properties Control Act, 1). </w:t>
            </w:r>
          </w:p>
        </w:tc>
      </w:tr>
      <w:tr w:rsidR="00382E47" w:rsidRPr="00EA0EA9" w14:paraId="48182F68" w14:textId="77777777" w:rsidTr="006C2086">
        <w:trPr>
          <w:trHeight w:val="2173"/>
        </w:trPr>
        <w:tc>
          <w:tcPr>
            <w:tcW w:w="2660" w:type="dxa"/>
            <w:shd w:val="clear" w:color="auto" w:fill="C0C0C0"/>
            <w:tcMar>
              <w:top w:w="80" w:type="dxa"/>
              <w:left w:w="80" w:type="dxa"/>
              <w:bottom w:w="80" w:type="dxa"/>
              <w:right w:w="80" w:type="dxa"/>
            </w:tcMar>
          </w:tcPr>
          <w:p w14:paraId="0AFC2476" w14:textId="77777777" w:rsidR="00382E47" w:rsidRPr="00EA0EA9" w:rsidRDefault="00382E47" w:rsidP="0097305B">
            <w:pPr>
              <w:jc w:val="both"/>
              <w:rPr>
                <w:rFonts w:ascii="Cambria" w:hAnsi="Cambria"/>
                <w:b/>
                <w:bCs/>
              </w:rPr>
            </w:pPr>
            <w:r w:rsidRPr="00EA0EA9">
              <w:rPr>
                <w:rFonts w:ascii="Cambria" w:hAnsi="Cambria"/>
                <w:b/>
                <w:bCs/>
                <w:sz w:val="22"/>
              </w:rPr>
              <w:t>Section 21 Companies (</w:t>
            </w:r>
            <w:proofErr w:type="spellStart"/>
            <w:r w:rsidRPr="00EA0EA9">
              <w:rPr>
                <w:rFonts w:ascii="Cambria" w:hAnsi="Cambria"/>
                <w:b/>
                <w:bCs/>
                <w:sz w:val="22"/>
              </w:rPr>
              <w:t>Non profit</w:t>
            </w:r>
            <w:proofErr w:type="spellEnd"/>
            <w:r w:rsidRPr="00EA0EA9">
              <w:rPr>
                <w:rFonts w:ascii="Cambria" w:hAnsi="Cambria"/>
                <w:b/>
                <w:bCs/>
                <w:sz w:val="22"/>
              </w:rPr>
              <w:t xml:space="preserve"> companies)</w:t>
            </w:r>
          </w:p>
          <w:p w14:paraId="060F6B8F" w14:textId="77777777" w:rsidR="00382E47" w:rsidRPr="00EA0EA9" w:rsidRDefault="00382E47" w:rsidP="0097305B">
            <w:pPr>
              <w:jc w:val="both"/>
              <w:rPr>
                <w:rFonts w:ascii="Cambria" w:hAnsi="Cambria"/>
              </w:rPr>
            </w:pPr>
            <w:r w:rsidRPr="00EA0EA9">
              <w:rPr>
                <w:rFonts w:ascii="Cambria" w:hAnsi="Cambria"/>
                <w:i/>
                <w:iCs/>
                <w:sz w:val="22"/>
              </w:rPr>
              <w:t>South African Companies Act 71 of 2008</w:t>
            </w:r>
          </w:p>
        </w:tc>
        <w:tc>
          <w:tcPr>
            <w:tcW w:w="6582" w:type="dxa"/>
            <w:shd w:val="clear" w:color="auto" w:fill="C0C0C0"/>
            <w:tcMar>
              <w:top w:w="80" w:type="dxa"/>
              <w:left w:w="80" w:type="dxa"/>
              <w:bottom w:w="80" w:type="dxa"/>
              <w:right w:w="80" w:type="dxa"/>
            </w:tcMar>
          </w:tcPr>
          <w:p w14:paraId="189DF244" w14:textId="77777777" w:rsidR="00382E47" w:rsidRPr="00EA0EA9" w:rsidRDefault="00382E47" w:rsidP="00352B52">
            <w:pPr>
              <w:numPr>
                <w:ilvl w:val="0"/>
                <w:numId w:val="22"/>
              </w:numPr>
              <w:jc w:val="both"/>
              <w:rPr>
                <w:rFonts w:ascii="Cambria" w:hAnsi="Cambria"/>
              </w:rPr>
            </w:pPr>
            <w:r w:rsidRPr="00EA0EA9">
              <w:rPr>
                <w:rFonts w:ascii="Cambria" w:hAnsi="Cambria"/>
                <w:sz w:val="22"/>
              </w:rPr>
              <w:t>Separate category of company established with or without members but must have at least 3 directors (Companies Act 3 {1})</w:t>
            </w:r>
          </w:p>
          <w:p w14:paraId="7E63DFB5" w14:textId="77777777" w:rsidR="00382E47" w:rsidRPr="00EA0EA9" w:rsidRDefault="00382E47" w:rsidP="00352B52">
            <w:pPr>
              <w:numPr>
                <w:ilvl w:val="0"/>
                <w:numId w:val="23"/>
              </w:numPr>
              <w:jc w:val="both"/>
              <w:rPr>
                <w:rFonts w:ascii="Cambria" w:hAnsi="Cambria"/>
              </w:rPr>
            </w:pPr>
            <w:r w:rsidRPr="00EA0EA9">
              <w:rPr>
                <w:rFonts w:ascii="Cambria" w:hAnsi="Cambria"/>
                <w:sz w:val="22"/>
              </w:rPr>
              <w:t>Can be established with or without members but must have at least three directors</w:t>
            </w:r>
          </w:p>
          <w:p w14:paraId="588A2E1F" w14:textId="77777777" w:rsidR="00382E47" w:rsidRPr="00EA0EA9" w:rsidRDefault="00382E47" w:rsidP="00352B52">
            <w:pPr>
              <w:numPr>
                <w:ilvl w:val="0"/>
                <w:numId w:val="24"/>
              </w:numPr>
              <w:jc w:val="both"/>
              <w:rPr>
                <w:rFonts w:ascii="Cambria" w:hAnsi="Cambria"/>
              </w:rPr>
            </w:pPr>
            <w:r w:rsidRPr="00EA0EA9">
              <w:rPr>
                <w:rFonts w:ascii="Cambria" w:hAnsi="Cambria"/>
                <w:sz w:val="22"/>
              </w:rPr>
              <w:t>Incorporated for a public benefit objective, or an objective relating to one or more cultural or social activities or communal or group interests (Companies Act Schedule 1, Para 1)</w:t>
            </w:r>
          </w:p>
        </w:tc>
      </w:tr>
    </w:tbl>
    <w:p w14:paraId="62DF81F2" w14:textId="77777777" w:rsidR="00382E47" w:rsidRPr="00EA0EA9" w:rsidRDefault="00382E47" w:rsidP="00382E47">
      <w:pPr>
        <w:jc w:val="both"/>
      </w:pPr>
    </w:p>
    <w:p w14:paraId="2AA83862" w14:textId="64C3F0E0" w:rsidR="006A3F52" w:rsidRPr="00EF4F6D" w:rsidRDefault="00EF4F6D" w:rsidP="00EF4F6D">
      <w:pPr>
        <w:pStyle w:val="Caption"/>
        <w:rPr>
          <w:rFonts w:asciiTheme="majorHAnsi" w:hAnsiTheme="majorHAnsi"/>
          <w:color w:val="auto"/>
          <w:sz w:val="28"/>
        </w:rPr>
      </w:pPr>
      <w:bookmarkStart w:id="38" w:name="_Toc476984143"/>
      <w:r w:rsidRPr="00EF4F6D">
        <w:rPr>
          <w:rFonts w:asciiTheme="majorHAnsi" w:hAnsiTheme="majorHAnsi"/>
          <w:color w:val="auto"/>
          <w:sz w:val="22"/>
        </w:rPr>
        <w:t xml:space="preserve">Table </w:t>
      </w:r>
      <w:r w:rsidRPr="00EF4F6D">
        <w:rPr>
          <w:rFonts w:asciiTheme="majorHAnsi" w:hAnsiTheme="majorHAnsi"/>
          <w:color w:val="auto"/>
          <w:sz w:val="22"/>
        </w:rPr>
        <w:fldChar w:fldCharType="begin"/>
      </w:r>
      <w:r w:rsidRPr="00EF4F6D">
        <w:rPr>
          <w:rFonts w:asciiTheme="majorHAnsi" w:hAnsiTheme="majorHAnsi"/>
          <w:color w:val="auto"/>
          <w:sz w:val="22"/>
        </w:rPr>
        <w:instrText xml:space="preserve"> SEQ Table \* ARABIC </w:instrText>
      </w:r>
      <w:r w:rsidRPr="00EF4F6D">
        <w:rPr>
          <w:rFonts w:asciiTheme="majorHAnsi" w:hAnsiTheme="majorHAnsi"/>
          <w:color w:val="auto"/>
          <w:sz w:val="22"/>
        </w:rPr>
        <w:fldChar w:fldCharType="separate"/>
      </w:r>
      <w:r w:rsidR="00533681">
        <w:rPr>
          <w:rFonts w:asciiTheme="majorHAnsi" w:hAnsiTheme="majorHAnsi"/>
          <w:noProof/>
          <w:color w:val="auto"/>
          <w:sz w:val="22"/>
        </w:rPr>
        <w:t>4</w:t>
      </w:r>
      <w:r w:rsidRPr="00EF4F6D">
        <w:rPr>
          <w:rFonts w:asciiTheme="majorHAnsi" w:hAnsiTheme="majorHAnsi"/>
          <w:color w:val="auto"/>
          <w:sz w:val="22"/>
        </w:rPr>
        <w:fldChar w:fldCharType="end"/>
      </w:r>
      <w:r w:rsidRPr="00EF4F6D">
        <w:rPr>
          <w:rFonts w:asciiTheme="majorHAnsi" w:hAnsiTheme="majorHAnsi"/>
          <w:color w:val="auto"/>
          <w:sz w:val="22"/>
        </w:rPr>
        <w:t>: Distribution of registered NPOs</w:t>
      </w:r>
      <w:bookmarkEnd w:id="38"/>
    </w:p>
    <w:tbl>
      <w:tblPr>
        <w:tblW w:w="634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3227"/>
        <w:gridCol w:w="3118"/>
      </w:tblGrid>
      <w:tr w:rsidR="00382E47" w:rsidRPr="00EA0EA9" w14:paraId="632A5408" w14:textId="77777777" w:rsidTr="0097305B">
        <w:trPr>
          <w:trHeight w:val="253"/>
        </w:trPr>
        <w:tc>
          <w:tcPr>
            <w:tcW w:w="3227" w:type="dxa"/>
            <w:tcBorders>
              <w:top w:val="single" w:sz="8" w:space="0" w:color="404040"/>
              <w:left w:val="single" w:sz="8" w:space="0" w:color="404040"/>
              <w:bottom w:val="single" w:sz="8" w:space="0" w:color="404040"/>
              <w:right w:val="single" w:sz="8" w:space="0" w:color="404040"/>
            </w:tcBorders>
            <w:shd w:val="clear" w:color="auto" w:fill="000000"/>
            <w:tcMar>
              <w:top w:w="80" w:type="dxa"/>
              <w:left w:w="80" w:type="dxa"/>
              <w:bottom w:w="80" w:type="dxa"/>
              <w:right w:w="80" w:type="dxa"/>
            </w:tcMar>
          </w:tcPr>
          <w:p w14:paraId="1287E125" w14:textId="77777777" w:rsidR="00382E47" w:rsidRPr="00EA0EA9" w:rsidRDefault="00382E47" w:rsidP="0097305B">
            <w:pPr>
              <w:jc w:val="both"/>
              <w:rPr>
                <w:rFonts w:ascii="Cambria" w:hAnsi="Cambria"/>
              </w:rPr>
            </w:pPr>
            <w:r w:rsidRPr="00EA0EA9">
              <w:rPr>
                <w:rFonts w:ascii="Cambria" w:hAnsi="Cambria"/>
                <w:b/>
                <w:bCs/>
                <w:sz w:val="22"/>
              </w:rPr>
              <w:t xml:space="preserve">Type of Organisation </w:t>
            </w:r>
          </w:p>
        </w:tc>
        <w:tc>
          <w:tcPr>
            <w:tcW w:w="3118" w:type="dxa"/>
            <w:tcBorders>
              <w:top w:val="single" w:sz="8" w:space="0" w:color="404040"/>
              <w:left w:val="single" w:sz="8" w:space="0" w:color="404040"/>
              <w:bottom w:val="single" w:sz="8" w:space="0" w:color="404040"/>
              <w:right w:val="single" w:sz="8" w:space="0" w:color="404040"/>
            </w:tcBorders>
            <w:shd w:val="clear" w:color="auto" w:fill="000000"/>
            <w:tcMar>
              <w:top w:w="80" w:type="dxa"/>
              <w:left w:w="80" w:type="dxa"/>
              <w:bottom w:w="80" w:type="dxa"/>
              <w:right w:w="80" w:type="dxa"/>
            </w:tcMar>
          </w:tcPr>
          <w:p w14:paraId="01D4FE3E" w14:textId="77777777" w:rsidR="00382E47" w:rsidRPr="00EA0EA9" w:rsidRDefault="00382E47" w:rsidP="0097305B">
            <w:pPr>
              <w:jc w:val="both"/>
              <w:rPr>
                <w:rFonts w:ascii="Cambria" w:hAnsi="Cambria"/>
              </w:rPr>
            </w:pPr>
            <w:r w:rsidRPr="00EA0EA9">
              <w:rPr>
                <w:rFonts w:ascii="Cambria" w:hAnsi="Cambria"/>
                <w:b/>
                <w:bCs/>
                <w:sz w:val="22"/>
              </w:rPr>
              <w:t xml:space="preserve">Number of registered NPOs </w:t>
            </w:r>
          </w:p>
        </w:tc>
      </w:tr>
      <w:tr w:rsidR="00382E47" w:rsidRPr="00EA0EA9" w14:paraId="1C5E134B" w14:textId="77777777" w:rsidTr="0097305B">
        <w:trPr>
          <w:trHeight w:val="253"/>
        </w:trPr>
        <w:tc>
          <w:tcPr>
            <w:tcW w:w="3227" w:type="dxa"/>
            <w:tcBorders>
              <w:top w:val="single" w:sz="8" w:space="0" w:color="404040"/>
              <w:left w:val="single" w:sz="8" w:space="0" w:color="404040"/>
              <w:bottom w:val="single" w:sz="8" w:space="0" w:color="404040"/>
              <w:right w:val="nil"/>
            </w:tcBorders>
            <w:shd w:val="clear" w:color="auto" w:fill="C0C0C0"/>
            <w:tcMar>
              <w:top w:w="80" w:type="dxa"/>
              <w:left w:w="80" w:type="dxa"/>
              <w:bottom w:w="80" w:type="dxa"/>
              <w:right w:w="80" w:type="dxa"/>
            </w:tcMar>
          </w:tcPr>
          <w:p w14:paraId="69E6A9FF" w14:textId="77777777" w:rsidR="00382E47" w:rsidRPr="00EA0EA9" w:rsidRDefault="00382E47" w:rsidP="0097305B">
            <w:pPr>
              <w:jc w:val="both"/>
              <w:rPr>
                <w:rFonts w:ascii="Cambria" w:hAnsi="Cambria"/>
              </w:rPr>
            </w:pPr>
            <w:r w:rsidRPr="00EA0EA9">
              <w:rPr>
                <w:rFonts w:ascii="Cambria" w:hAnsi="Cambria"/>
                <w:b/>
                <w:bCs/>
                <w:sz w:val="22"/>
              </w:rPr>
              <w:t xml:space="preserve">Voluntary Association </w:t>
            </w:r>
          </w:p>
        </w:tc>
        <w:tc>
          <w:tcPr>
            <w:tcW w:w="3118" w:type="dxa"/>
            <w:tcBorders>
              <w:top w:val="single" w:sz="8" w:space="0" w:color="404040"/>
              <w:left w:val="nil"/>
              <w:bottom w:val="single" w:sz="8" w:space="0" w:color="404040"/>
              <w:right w:val="single" w:sz="8" w:space="0" w:color="404040"/>
            </w:tcBorders>
            <w:shd w:val="clear" w:color="auto" w:fill="C0C0C0"/>
            <w:tcMar>
              <w:top w:w="80" w:type="dxa"/>
              <w:left w:w="80" w:type="dxa"/>
              <w:bottom w:w="80" w:type="dxa"/>
              <w:right w:w="80" w:type="dxa"/>
            </w:tcMar>
          </w:tcPr>
          <w:p w14:paraId="51148C7A" w14:textId="77777777" w:rsidR="00382E47" w:rsidRPr="00EA0EA9" w:rsidRDefault="00382E47" w:rsidP="0097305B">
            <w:pPr>
              <w:jc w:val="both"/>
              <w:rPr>
                <w:rFonts w:ascii="Cambria" w:hAnsi="Cambria"/>
              </w:rPr>
            </w:pPr>
            <w:r w:rsidRPr="00EA0EA9">
              <w:rPr>
                <w:rFonts w:ascii="Cambria" w:hAnsi="Cambria"/>
                <w:sz w:val="22"/>
              </w:rPr>
              <w:t>53,051</w:t>
            </w:r>
          </w:p>
        </w:tc>
      </w:tr>
      <w:tr w:rsidR="00382E47" w:rsidRPr="00EA0EA9" w14:paraId="5C6E9394" w14:textId="77777777" w:rsidTr="0097305B">
        <w:trPr>
          <w:trHeight w:val="253"/>
        </w:trPr>
        <w:tc>
          <w:tcPr>
            <w:tcW w:w="3227" w:type="dxa"/>
            <w:tcBorders>
              <w:top w:val="single" w:sz="8" w:space="0" w:color="404040"/>
              <w:left w:val="single" w:sz="8" w:space="0" w:color="404040"/>
              <w:bottom w:val="single" w:sz="8" w:space="0" w:color="404040"/>
              <w:right w:val="nil"/>
            </w:tcBorders>
            <w:shd w:val="clear" w:color="auto" w:fill="auto"/>
            <w:tcMar>
              <w:top w:w="80" w:type="dxa"/>
              <w:left w:w="80" w:type="dxa"/>
              <w:bottom w:w="80" w:type="dxa"/>
              <w:right w:w="80" w:type="dxa"/>
            </w:tcMar>
          </w:tcPr>
          <w:p w14:paraId="6016D818" w14:textId="77777777" w:rsidR="00382E47" w:rsidRPr="00EA0EA9" w:rsidRDefault="00382E47" w:rsidP="0097305B">
            <w:pPr>
              <w:jc w:val="both"/>
              <w:rPr>
                <w:rFonts w:ascii="Cambria" w:hAnsi="Cambria"/>
              </w:rPr>
            </w:pPr>
            <w:r w:rsidRPr="00EA0EA9">
              <w:rPr>
                <w:rFonts w:ascii="Cambria" w:hAnsi="Cambria"/>
                <w:b/>
                <w:bCs/>
                <w:sz w:val="22"/>
              </w:rPr>
              <w:t>Trust</w:t>
            </w:r>
          </w:p>
        </w:tc>
        <w:tc>
          <w:tcPr>
            <w:tcW w:w="3118" w:type="dxa"/>
            <w:tcBorders>
              <w:top w:val="single" w:sz="8" w:space="0" w:color="404040"/>
              <w:left w:val="nil"/>
              <w:bottom w:val="single" w:sz="8" w:space="0" w:color="404040"/>
              <w:right w:val="single" w:sz="8" w:space="0" w:color="404040"/>
            </w:tcBorders>
            <w:shd w:val="clear" w:color="auto" w:fill="auto"/>
            <w:tcMar>
              <w:top w:w="80" w:type="dxa"/>
              <w:left w:w="80" w:type="dxa"/>
              <w:bottom w:w="80" w:type="dxa"/>
              <w:right w:w="80" w:type="dxa"/>
            </w:tcMar>
          </w:tcPr>
          <w:p w14:paraId="676D053B" w14:textId="77777777" w:rsidR="00382E47" w:rsidRPr="00EA0EA9" w:rsidRDefault="00382E47" w:rsidP="0097305B">
            <w:pPr>
              <w:jc w:val="both"/>
              <w:rPr>
                <w:rFonts w:ascii="Cambria" w:hAnsi="Cambria"/>
              </w:rPr>
            </w:pPr>
            <w:r w:rsidRPr="00EA0EA9">
              <w:rPr>
                <w:rFonts w:ascii="Cambria" w:hAnsi="Cambria"/>
                <w:sz w:val="22"/>
              </w:rPr>
              <w:t>1,526</w:t>
            </w:r>
          </w:p>
        </w:tc>
      </w:tr>
      <w:tr w:rsidR="00382E47" w:rsidRPr="00EA0EA9" w14:paraId="1BAAD5CF" w14:textId="77777777" w:rsidTr="0097305B">
        <w:trPr>
          <w:trHeight w:val="253"/>
        </w:trPr>
        <w:tc>
          <w:tcPr>
            <w:tcW w:w="3227" w:type="dxa"/>
            <w:tcBorders>
              <w:top w:val="single" w:sz="8" w:space="0" w:color="404040"/>
              <w:left w:val="single" w:sz="8" w:space="0" w:color="404040"/>
              <w:bottom w:val="single" w:sz="8" w:space="0" w:color="404040"/>
              <w:right w:val="nil"/>
            </w:tcBorders>
            <w:shd w:val="clear" w:color="auto" w:fill="C0C0C0"/>
            <w:tcMar>
              <w:top w:w="80" w:type="dxa"/>
              <w:left w:w="80" w:type="dxa"/>
              <w:bottom w:w="80" w:type="dxa"/>
              <w:right w:w="80" w:type="dxa"/>
            </w:tcMar>
          </w:tcPr>
          <w:p w14:paraId="19208B3B" w14:textId="77777777" w:rsidR="00382E47" w:rsidRPr="00EA0EA9" w:rsidRDefault="00382E47" w:rsidP="0097305B">
            <w:pPr>
              <w:jc w:val="both"/>
              <w:rPr>
                <w:rFonts w:ascii="Cambria" w:hAnsi="Cambria"/>
              </w:rPr>
            </w:pPr>
            <w:r w:rsidRPr="00EA0EA9">
              <w:rPr>
                <w:rFonts w:ascii="Cambria" w:hAnsi="Cambria"/>
                <w:b/>
                <w:bCs/>
                <w:sz w:val="22"/>
              </w:rPr>
              <w:t>Section 21</w:t>
            </w:r>
          </w:p>
        </w:tc>
        <w:tc>
          <w:tcPr>
            <w:tcW w:w="3118" w:type="dxa"/>
            <w:tcBorders>
              <w:top w:val="single" w:sz="8" w:space="0" w:color="404040"/>
              <w:left w:val="nil"/>
              <w:bottom w:val="single" w:sz="8" w:space="0" w:color="404040"/>
              <w:right w:val="single" w:sz="8" w:space="0" w:color="404040"/>
            </w:tcBorders>
            <w:shd w:val="clear" w:color="auto" w:fill="C0C0C0"/>
            <w:tcMar>
              <w:top w:w="80" w:type="dxa"/>
              <w:left w:w="80" w:type="dxa"/>
              <w:bottom w:w="80" w:type="dxa"/>
              <w:right w:w="80" w:type="dxa"/>
            </w:tcMar>
          </w:tcPr>
          <w:p w14:paraId="108A1095" w14:textId="77777777" w:rsidR="00382E47" w:rsidRPr="00EA0EA9" w:rsidRDefault="00382E47" w:rsidP="0097305B">
            <w:pPr>
              <w:jc w:val="both"/>
              <w:rPr>
                <w:rFonts w:ascii="Cambria" w:hAnsi="Cambria"/>
              </w:rPr>
            </w:pPr>
            <w:r w:rsidRPr="00EA0EA9">
              <w:rPr>
                <w:rFonts w:ascii="Cambria" w:hAnsi="Cambria"/>
                <w:sz w:val="22"/>
              </w:rPr>
              <w:t>1,667</w:t>
            </w:r>
          </w:p>
        </w:tc>
      </w:tr>
      <w:tr w:rsidR="00382E47" w:rsidRPr="00EA0EA9" w14:paraId="028E04C4" w14:textId="77777777" w:rsidTr="0097305B">
        <w:trPr>
          <w:trHeight w:val="253"/>
        </w:trPr>
        <w:tc>
          <w:tcPr>
            <w:tcW w:w="3227" w:type="dxa"/>
            <w:tcBorders>
              <w:top w:val="single" w:sz="8" w:space="0" w:color="404040"/>
              <w:left w:val="single" w:sz="8" w:space="0" w:color="404040"/>
              <w:bottom w:val="single" w:sz="8" w:space="0" w:color="404040"/>
              <w:right w:val="nil"/>
            </w:tcBorders>
            <w:shd w:val="clear" w:color="auto" w:fill="auto"/>
            <w:tcMar>
              <w:top w:w="80" w:type="dxa"/>
              <w:left w:w="80" w:type="dxa"/>
              <w:bottom w:w="80" w:type="dxa"/>
              <w:right w:w="80" w:type="dxa"/>
            </w:tcMar>
          </w:tcPr>
          <w:p w14:paraId="03D92A17" w14:textId="77777777" w:rsidR="00382E47" w:rsidRPr="00EA0EA9" w:rsidRDefault="00382E47" w:rsidP="0097305B">
            <w:pPr>
              <w:jc w:val="both"/>
              <w:rPr>
                <w:rFonts w:ascii="Cambria" w:hAnsi="Cambria"/>
              </w:rPr>
            </w:pPr>
            <w:r w:rsidRPr="00EA0EA9">
              <w:rPr>
                <w:rFonts w:ascii="Cambria" w:hAnsi="Cambria"/>
                <w:b/>
                <w:bCs/>
                <w:sz w:val="22"/>
              </w:rPr>
              <w:lastRenderedPageBreak/>
              <w:t xml:space="preserve">Total </w:t>
            </w:r>
          </w:p>
        </w:tc>
        <w:tc>
          <w:tcPr>
            <w:tcW w:w="3118" w:type="dxa"/>
            <w:tcBorders>
              <w:top w:val="single" w:sz="8" w:space="0" w:color="404040"/>
              <w:left w:val="nil"/>
              <w:bottom w:val="single" w:sz="8" w:space="0" w:color="404040"/>
              <w:right w:val="single" w:sz="8" w:space="0" w:color="404040"/>
            </w:tcBorders>
            <w:shd w:val="clear" w:color="auto" w:fill="auto"/>
            <w:tcMar>
              <w:top w:w="80" w:type="dxa"/>
              <w:left w:w="80" w:type="dxa"/>
              <w:bottom w:w="80" w:type="dxa"/>
              <w:right w:w="80" w:type="dxa"/>
            </w:tcMar>
          </w:tcPr>
          <w:p w14:paraId="3D305733" w14:textId="77777777" w:rsidR="00382E47" w:rsidRPr="00EA0EA9" w:rsidRDefault="00382E47" w:rsidP="0097305B">
            <w:pPr>
              <w:jc w:val="both"/>
              <w:rPr>
                <w:rFonts w:ascii="Cambria" w:hAnsi="Cambria"/>
              </w:rPr>
            </w:pPr>
            <w:r w:rsidRPr="00EA0EA9">
              <w:rPr>
                <w:rFonts w:ascii="Cambria" w:hAnsi="Cambria"/>
                <w:b/>
                <w:bCs/>
                <w:sz w:val="22"/>
              </w:rPr>
              <w:t>56,244</w:t>
            </w:r>
          </w:p>
        </w:tc>
      </w:tr>
    </w:tbl>
    <w:p w14:paraId="1D598063" w14:textId="77777777" w:rsidR="00382E47" w:rsidRPr="00EA0EA9" w:rsidRDefault="00382E47" w:rsidP="00382E47">
      <w:pPr>
        <w:jc w:val="both"/>
      </w:pPr>
      <w:r w:rsidRPr="00EA0EA9">
        <w:rPr>
          <w:rFonts w:ascii="Cambria" w:hAnsi="Cambria"/>
          <w:sz w:val="22"/>
        </w:rPr>
        <w:t>Source: The State of NPO Registration in SA</w:t>
      </w:r>
      <w:r w:rsidRPr="00EA0EA9">
        <w:rPr>
          <w:vertAlign w:val="superscript"/>
        </w:rPr>
        <w:footnoteReference w:id="16"/>
      </w:r>
    </w:p>
    <w:p w14:paraId="0D9F1DC0" w14:textId="77777777" w:rsidR="00382E47" w:rsidRPr="00EA0EA9" w:rsidRDefault="00382E47" w:rsidP="00382E47">
      <w:pPr>
        <w:jc w:val="both"/>
        <w:rPr>
          <w:b/>
          <w:bCs/>
          <w:i/>
          <w:iCs/>
        </w:rPr>
      </w:pPr>
    </w:p>
    <w:p w14:paraId="2C4519AE" w14:textId="77777777" w:rsidR="00382E47" w:rsidRPr="00EA0EA9" w:rsidRDefault="008F3E33" w:rsidP="00AA4AD1">
      <w:pPr>
        <w:pStyle w:val="Heading2"/>
        <w:numPr>
          <w:ilvl w:val="1"/>
          <w:numId w:val="75"/>
        </w:numPr>
        <w:rPr>
          <w:i/>
          <w:color w:val="CC0000"/>
          <w:sz w:val="28"/>
        </w:rPr>
      </w:pPr>
      <w:bookmarkStart w:id="39" w:name="_Toc476983595"/>
      <w:r w:rsidRPr="00EA0EA9">
        <w:rPr>
          <w:i/>
          <w:color w:val="CC0000"/>
          <w:sz w:val="28"/>
        </w:rPr>
        <w:t>Regulatory F</w:t>
      </w:r>
      <w:r w:rsidR="00382E47" w:rsidRPr="00EA0EA9">
        <w:rPr>
          <w:i/>
          <w:color w:val="CC0000"/>
          <w:sz w:val="28"/>
        </w:rPr>
        <w:t xml:space="preserve">ramework of </w:t>
      </w:r>
      <w:r w:rsidRPr="00EA0EA9">
        <w:rPr>
          <w:i/>
          <w:color w:val="CC0000"/>
          <w:sz w:val="28"/>
        </w:rPr>
        <w:t>P</w:t>
      </w:r>
      <w:r w:rsidR="00382E47" w:rsidRPr="00EA0EA9">
        <w:rPr>
          <w:i/>
          <w:color w:val="CC0000"/>
          <w:sz w:val="28"/>
        </w:rPr>
        <w:t>hilanthropy in South Africa</w:t>
      </w:r>
      <w:bookmarkEnd w:id="39"/>
    </w:p>
    <w:p w14:paraId="71F6F443" w14:textId="77777777" w:rsidR="00382E47" w:rsidRPr="00EA0EA9" w:rsidRDefault="00382E47" w:rsidP="0085720F">
      <w:pPr>
        <w:spacing w:line="276" w:lineRule="auto"/>
        <w:jc w:val="both"/>
        <w:rPr>
          <w:rFonts w:ascii="Cambria" w:hAnsi="Cambria"/>
        </w:rPr>
      </w:pPr>
      <w:r w:rsidRPr="00EA0EA9">
        <w:rPr>
          <w:rFonts w:ascii="Cambria" w:hAnsi="Cambria"/>
        </w:rPr>
        <w:t xml:space="preserve">Over the last two decades of democracy, there have been significant shifts in the environment within which NPOs operate. The apartheid era was extremely restrictive in terms of the legislative frameworks within which philanthropic (NPO) worked. For example, registration of entities to enable them to fundraise was mandatory, there were limited tax benefits applicable to a small number of NGOs and the state had the discretion to declare the objectives of some associations unlawful thus limiting the existence of many such groups. With the advent of democracy in 1994, the new state prioritised the creation and enactment of an enabling legislative environment for civil society and this led to shifts in the NGO laws. </w:t>
      </w:r>
    </w:p>
    <w:p w14:paraId="2A059631" w14:textId="77777777" w:rsidR="00382E47" w:rsidRPr="00EA0EA9" w:rsidRDefault="00382E47" w:rsidP="0085720F">
      <w:pPr>
        <w:spacing w:line="276" w:lineRule="auto"/>
        <w:jc w:val="both"/>
        <w:rPr>
          <w:rFonts w:ascii="Cambria" w:hAnsi="Cambria"/>
          <w:iCs/>
        </w:rPr>
      </w:pPr>
    </w:p>
    <w:p w14:paraId="335FA65A" w14:textId="77777777" w:rsidR="00382E47" w:rsidRPr="00EA0EA9" w:rsidRDefault="00382E47" w:rsidP="0085720F">
      <w:pPr>
        <w:spacing w:line="276" w:lineRule="auto"/>
        <w:jc w:val="both"/>
        <w:rPr>
          <w:rFonts w:ascii="Cambria" w:hAnsi="Cambria"/>
        </w:rPr>
      </w:pPr>
      <w:r w:rsidRPr="00EA0EA9">
        <w:rPr>
          <w:rFonts w:ascii="Cambria" w:hAnsi="Cambria"/>
        </w:rPr>
        <w:t>The right of NPOs and other philanthropic entities to exist in South Africa is enshrined in the Constitution and in particular, the Bill of Rights (Chapter 2 of the Constitution) that enshrines the fundamental rights enjoyed by all persons and groups. The group of rights covers equality (Chapter 2, Section 9), privacy (Chapter 2, Section 14), right to property (Chapter 2, Section 25), freedom of expression (Chapter 2, Section 16), freedom of association (Chapter 2, Section 18) and various socio-economic rights such as the right to housing (Chapter 2, Section 26) and education (Chapter 2, Section 27)</w:t>
      </w:r>
      <w:r w:rsidRPr="00EA0EA9">
        <w:rPr>
          <w:rFonts w:ascii="Cambria" w:hAnsi="Cambria"/>
          <w:vertAlign w:val="superscript"/>
        </w:rPr>
        <w:footnoteReference w:id="17"/>
      </w:r>
      <w:r w:rsidRPr="00EA0EA9">
        <w:rPr>
          <w:rFonts w:ascii="Cambria" w:hAnsi="Cambria"/>
          <w:vertAlign w:val="superscript"/>
        </w:rPr>
        <w:footnoteReference w:id="18"/>
      </w:r>
      <w:r w:rsidRPr="00EA0EA9">
        <w:rPr>
          <w:rFonts w:ascii="Cambria" w:hAnsi="Cambria"/>
        </w:rPr>
        <w:t>. The significant shift in legislation came in 1993 when the Abolition of Restrictions on Free Political Activity Act (1993) amended the Internal Security Act (1982) that included offences such as terrorism and sabotage, aimed at curbing the activities of the anti-apartheid movement. This amended Act essentially did away with the banning of associations</w:t>
      </w:r>
      <w:r w:rsidRPr="00EA0EA9">
        <w:rPr>
          <w:rFonts w:ascii="Cambria" w:hAnsi="Cambria"/>
          <w:vertAlign w:val="superscript"/>
        </w:rPr>
        <w:footnoteReference w:id="19"/>
      </w:r>
      <w:r w:rsidRPr="00EA0EA9">
        <w:rPr>
          <w:rFonts w:ascii="Cambria" w:hAnsi="Cambria"/>
        </w:rPr>
        <w:t xml:space="preserve">. </w:t>
      </w:r>
    </w:p>
    <w:p w14:paraId="777D8849" w14:textId="77777777" w:rsidR="00E26CF7" w:rsidRPr="00EA0EA9" w:rsidRDefault="00E26CF7" w:rsidP="0085720F">
      <w:pPr>
        <w:spacing w:line="276" w:lineRule="auto"/>
        <w:jc w:val="both"/>
        <w:rPr>
          <w:rFonts w:ascii="Cambria" w:hAnsi="Cambria"/>
        </w:rPr>
      </w:pPr>
    </w:p>
    <w:p w14:paraId="25E23E33" w14:textId="1FBC147C" w:rsidR="00382E47" w:rsidRDefault="00382E47" w:rsidP="0085720F">
      <w:pPr>
        <w:spacing w:line="276" w:lineRule="auto"/>
        <w:jc w:val="both"/>
        <w:rPr>
          <w:rFonts w:ascii="Cambria" w:hAnsi="Cambria"/>
        </w:rPr>
      </w:pPr>
      <w:r w:rsidRPr="00EA0EA9">
        <w:rPr>
          <w:rFonts w:ascii="Cambria" w:hAnsi="Cambria"/>
        </w:rPr>
        <w:t>The legal framework for NPOs or NGOs in South Africa consists of four primary tiers. The first tier allows for the establishment under statutory and common law of three forms of NPO, namely, voluntary associations, non-profit trusts and non-profit or Section 21 companies established for a public benefit objective or social, cultural activities</w:t>
      </w:r>
      <w:r w:rsidRPr="00EA0EA9">
        <w:rPr>
          <w:rFonts w:ascii="Cambria" w:hAnsi="Cambria"/>
          <w:vertAlign w:val="superscript"/>
        </w:rPr>
        <w:footnoteReference w:id="20"/>
      </w:r>
      <w:r w:rsidRPr="00EA0EA9">
        <w:rPr>
          <w:rFonts w:ascii="Cambria" w:hAnsi="Cambria"/>
        </w:rPr>
        <w:t xml:space="preserve">. The second tier enables any of the </w:t>
      </w:r>
      <w:proofErr w:type="gramStart"/>
      <w:r w:rsidRPr="00EA0EA9">
        <w:rPr>
          <w:rFonts w:ascii="Cambria" w:hAnsi="Cambria"/>
        </w:rPr>
        <w:t>first tier</w:t>
      </w:r>
      <w:proofErr w:type="gramEnd"/>
      <w:r w:rsidRPr="00EA0EA9">
        <w:rPr>
          <w:rFonts w:ascii="Cambria" w:hAnsi="Cambria"/>
        </w:rPr>
        <w:t xml:space="preserve"> organisations to apply for the status of “Registered Non-profit Organisation” under the application of specific governance criteria; these organisations cannot distribute profits. The third tier enables an NPO to apply for the status of “Public Benefit Organisation” (PBO) and allows for partial tax exemption. Within this tier the sole purpose of the organisation must be to undertake one or more public benefit activities that are executed in a not-for-profit manner, with altruistic or </w:t>
      </w:r>
      <w:r w:rsidRPr="00EA0EA9">
        <w:rPr>
          <w:rFonts w:ascii="Cambria" w:hAnsi="Cambria"/>
        </w:rPr>
        <w:lastRenderedPageBreak/>
        <w:t>philanthropic intent. PBOs are however restricted from using their resources to directly or indirectly support, advance or oppose any political party. PBOs have access to a wide range of fiscal benefits that include a partial income tax exemption, exemption on donations tax and to a limited extent, an exemption of transfer duty on fixed property</w:t>
      </w:r>
      <w:r w:rsidRPr="00EA0EA9">
        <w:rPr>
          <w:rFonts w:ascii="Cambria" w:hAnsi="Cambria"/>
          <w:vertAlign w:val="superscript"/>
        </w:rPr>
        <w:footnoteReference w:id="21"/>
      </w:r>
      <w:r w:rsidRPr="00EA0EA9">
        <w:rPr>
          <w:rFonts w:ascii="Cambria" w:hAnsi="Cambria"/>
        </w:rPr>
        <w:t>. The fourth tier allows PBOs to apply for the right to receive tax-deductible donations</w:t>
      </w:r>
      <w:r w:rsidRPr="00EA0EA9">
        <w:rPr>
          <w:rFonts w:ascii="Cambria" w:hAnsi="Cambria"/>
          <w:vertAlign w:val="superscript"/>
        </w:rPr>
        <w:footnoteReference w:id="22"/>
      </w:r>
      <w:r w:rsidRPr="00EA0EA9">
        <w:rPr>
          <w:rFonts w:ascii="Cambria" w:hAnsi="Cambria"/>
        </w:rPr>
        <w:t xml:space="preserve">. Other NPO legal forms comprise trade unions, employer’s organisations, political parties and friendly societies founded for the advantage of their members. </w:t>
      </w:r>
    </w:p>
    <w:p w14:paraId="0D6A96B7" w14:textId="77777777" w:rsidR="00EF4F6D" w:rsidRPr="00EA0EA9" w:rsidRDefault="00EF4F6D" w:rsidP="0085720F">
      <w:pPr>
        <w:spacing w:line="276" w:lineRule="auto"/>
        <w:jc w:val="both"/>
        <w:rPr>
          <w:rFonts w:ascii="Cambria" w:hAnsi="Cambria"/>
        </w:rPr>
      </w:pPr>
    </w:p>
    <w:p w14:paraId="7378F0BB" w14:textId="6B92BEF4" w:rsidR="0077202A" w:rsidRPr="00EF4F6D" w:rsidRDefault="00EF4F6D" w:rsidP="00EF4F6D">
      <w:pPr>
        <w:pStyle w:val="Caption"/>
        <w:rPr>
          <w:rFonts w:asciiTheme="majorHAnsi" w:hAnsiTheme="majorHAnsi"/>
          <w:color w:val="auto"/>
          <w:sz w:val="28"/>
        </w:rPr>
      </w:pPr>
      <w:bookmarkStart w:id="40" w:name="_Toc476984144"/>
      <w:r w:rsidRPr="00EF4F6D">
        <w:rPr>
          <w:rFonts w:asciiTheme="majorHAnsi" w:hAnsiTheme="majorHAnsi"/>
          <w:color w:val="auto"/>
          <w:sz w:val="22"/>
        </w:rPr>
        <w:t xml:space="preserve">Table </w:t>
      </w:r>
      <w:r w:rsidRPr="00EF4F6D">
        <w:rPr>
          <w:rFonts w:asciiTheme="majorHAnsi" w:hAnsiTheme="majorHAnsi"/>
          <w:color w:val="auto"/>
          <w:sz w:val="22"/>
        </w:rPr>
        <w:fldChar w:fldCharType="begin"/>
      </w:r>
      <w:r w:rsidRPr="00EF4F6D">
        <w:rPr>
          <w:rFonts w:asciiTheme="majorHAnsi" w:hAnsiTheme="majorHAnsi"/>
          <w:color w:val="auto"/>
          <w:sz w:val="22"/>
        </w:rPr>
        <w:instrText xml:space="preserve"> SEQ Table \* ARABIC </w:instrText>
      </w:r>
      <w:r w:rsidRPr="00EF4F6D">
        <w:rPr>
          <w:rFonts w:asciiTheme="majorHAnsi" w:hAnsiTheme="majorHAnsi"/>
          <w:color w:val="auto"/>
          <w:sz w:val="22"/>
        </w:rPr>
        <w:fldChar w:fldCharType="separate"/>
      </w:r>
      <w:r w:rsidR="00533681">
        <w:rPr>
          <w:rFonts w:asciiTheme="majorHAnsi" w:hAnsiTheme="majorHAnsi"/>
          <w:noProof/>
          <w:color w:val="auto"/>
          <w:sz w:val="22"/>
        </w:rPr>
        <w:t>5</w:t>
      </w:r>
      <w:r w:rsidRPr="00EF4F6D">
        <w:rPr>
          <w:rFonts w:asciiTheme="majorHAnsi" w:hAnsiTheme="majorHAnsi"/>
          <w:color w:val="auto"/>
          <w:sz w:val="22"/>
        </w:rPr>
        <w:fldChar w:fldCharType="end"/>
      </w:r>
      <w:r w:rsidRPr="00EF4F6D">
        <w:rPr>
          <w:rFonts w:asciiTheme="majorHAnsi" w:hAnsiTheme="majorHAnsi"/>
          <w:color w:val="auto"/>
          <w:sz w:val="22"/>
        </w:rPr>
        <w:t xml:space="preserve">: Four Primary Tiers of the Legal Framework of NPO </w:t>
      </w:r>
      <w:bookmarkEnd w:id="40"/>
    </w:p>
    <w:tbl>
      <w:tblPr>
        <w:tblW w:w="924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C2D69B" w:themeFill="accent3" w:themeFillTint="99"/>
        <w:tblLayout w:type="fixed"/>
        <w:tblLook w:val="04A0" w:firstRow="1" w:lastRow="0" w:firstColumn="1" w:lastColumn="0" w:noHBand="0" w:noVBand="1"/>
      </w:tblPr>
      <w:tblGrid>
        <w:gridCol w:w="1101"/>
        <w:gridCol w:w="2551"/>
        <w:gridCol w:w="2703"/>
        <w:gridCol w:w="2887"/>
      </w:tblGrid>
      <w:tr w:rsidR="00382E47" w:rsidRPr="00EA0EA9" w14:paraId="59065DC4" w14:textId="77777777" w:rsidTr="001720BE">
        <w:trPr>
          <w:trHeight w:val="243"/>
        </w:trPr>
        <w:tc>
          <w:tcPr>
            <w:tcW w:w="110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tcPr>
          <w:p w14:paraId="01B83DB5" w14:textId="77777777" w:rsidR="00382E47" w:rsidRPr="00EA0EA9" w:rsidRDefault="00382E47" w:rsidP="0097305B">
            <w:pPr>
              <w:jc w:val="both"/>
              <w:rPr>
                <w:rFonts w:ascii="Cambria" w:hAnsi="Cambria"/>
              </w:rPr>
            </w:pPr>
            <w:r w:rsidRPr="00EA0EA9">
              <w:rPr>
                <w:rFonts w:ascii="Cambria" w:hAnsi="Cambria"/>
                <w:b/>
                <w:bCs/>
                <w:sz w:val="22"/>
              </w:rPr>
              <w:t>TIER</w:t>
            </w:r>
          </w:p>
        </w:tc>
        <w:tc>
          <w:tcPr>
            <w:tcW w:w="255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tcPr>
          <w:p w14:paraId="14240154" w14:textId="77777777" w:rsidR="00382E47" w:rsidRPr="00EA0EA9" w:rsidRDefault="00E26CF7" w:rsidP="0097305B">
            <w:pPr>
              <w:jc w:val="both"/>
              <w:rPr>
                <w:rFonts w:ascii="Cambria" w:hAnsi="Cambria"/>
              </w:rPr>
            </w:pPr>
            <w:r w:rsidRPr="00EA0EA9">
              <w:rPr>
                <w:rFonts w:ascii="Cambria" w:hAnsi="Cambria"/>
                <w:b/>
                <w:bCs/>
                <w:sz w:val="22"/>
              </w:rPr>
              <w:t>Legal Provisions</w:t>
            </w:r>
          </w:p>
        </w:tc>
        <w:tc>
          <w:tcPr>
            <w:tcW w:w="5590" w:type="dxa"/>
            <w:gridSpan w:val="2"/>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tcPr>
          <w:p w14:paraId="4453AC50" w14:textId="5BD6A078" w:rsidR="00382E47" w:rsidRPr="00EA0EA9" w:rsidRDefault="00E26CF7" w:rsidP="00E26CF7">
            <w:pPr>
              <w:jc w:val="both"/>
              <w:rPr>
                <w:rFonts w:ascii="Cambria" w:hAnsi="Cambria"/>
              </w:rPr>
            </w:pPr>
            <w:r w:rsidRPr="00EA0EA9">
              <w:rPr>
                <w:rFonts w:ascii="Cambria" w:hAnsi="Cambria"/>
                <w:b/>
                <w:bCs/>
                <w:sz w:val="22"/>
              </w:rPr>
              <w:t xml:space="preserve">Legal Entities </w:t>
            </w:r>
            <w:r w:rsidR="004149DD">
              <w:rPr>
                <w:rFonts w:ascii="Cambria" w:hAnsi="Cambria"/>
                <w:b/>
                <w:bCs/>
                <w:sz w:val="22"/>
              </w:rPr>
              <w:t>t</w:t>
            </w:r>
            <w:r w:rsidRPr="00EA0EA9">
              <w:rPr>
                <w:rFonts w:ascii="Cambria" w:hAnsi="Cambria"/>
                <w:b/>
                <w:bCs/>
                <w:sz w:val="22"/>
              </w:rPr>
              <w:t>hat Qualify</w:t>
            </w:r>
          </w:p>
        </w:tc>
      </w:tr>
      <w:tr w:rsidR="00382E47" w:rsidRPr="00EA0EA9" w14:paraId="3FA69C2F" w14:textId="77777777" w:rsidTr="00E26CF7">
        <w:trPr>
          <w:trHeight w:val="872"/>
        </w:trPr>
        <w:tc>
          <w:tcPr>
            <w:tcW w:w="110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644806D6" w14:textId="77777777" w:rsidR="00382E47" w:rsidRPr="00EA0EA9" w:rsidRDefault="00382E47" w:rsidP="0097305B">
            <w:pPr>
              <w:jc w:val="both"/>
              <w:rPr>
                <w:rFonts w:ascii="Cambria" w:hAnsi="Cambria"/>
              </w:rPr>
            </w:pPr>
            <w:r w:rsidRPr="00EA0EA9">
              <w:rPr>
                <w:rFonts w:ascii="Cambria" w:hAnsi="Cambria"/>
                <w:b/>
                <w:bCs/>
                <w:i/>
                <w:iCs/>
                <w:sz w:val="22"/>
              </w:rPr>
              <w:t xml:space="preserve">TIER 1 </w:t>
            </w:r>
          </w:p>
        </w:tc>
        <w:tc>
          <w:tcPr>
            <w:tcW w:w="255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tcPr>
          <w:p w14:paraId="3A3B2964" w14:textId="77777777" w:rsidR="00382E47" w:rsidRPr="00EA0EA9" w:rsidRDefault="00382E47" w:rsidP="0097305B">
            <w:pPr>
              <w:jc w:val="both"/>
              <w:rPr>
                <w:rFonts w:ascii="Cambria" w:hAnsi="Cambria"/>
              </w:rPr>
            </w:pPr>
            <w:r w:rsidRPr="00EA0EA9">
              <w:rPr>
                <w:rFonts w:ascii="Cambria" w:hAnsi="Cambria"/>
                <w:sz w:val="22"/>
              </w:rPr>
              <w:t>Common law &amp;</w:t>
            </w:r>
          </w:p>
          <w:p w14:paraId="0AAFBF84" w14:textId="77777777" w:rsidR="00382E47" w:rsidRPr="00EA0EA9" w:rsidRDefault="00382E47" w:rsidP="0097305B">
            <w:pPr>
              <w:jc w:val="both"/>
              <w:rPr>
                <w:rFonts w:ascii="Cambria" w:hAnsi="Cambria"/>
              </w:rPr>
            </w:pPr>
            <w:r w:rsidRPr="00EA0EA9">
              <w:rPr>
                <w:rFonts w:ascii="Cambria" w:hAnsi="Cambria"/>
                <w:sz w:val="22"/>
              </w:rPr>
              <w:t>Statutory law</w:t>
            </w:r>
          </w:p>
        </w:tc>
        <w:tc>
          <w:tcPr>
            <w:tcW w:w="270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tcPr>
          <w:p w14:paraId="1352EACC" w14:textId="77777777" w:rsidR="00382E47" w:rsidRPr="00EA0EA9" w:rsidRDefault="00382E47" w:rsidP="00352B52">
            <w:pPr>
              <w:numPr>
                <w:ilvl w:val="0"/>
                <w:numId w:val="28"/>
              </w:numPr>
              <w:jc w:val="both"/>
              <w:rPr>
                <w:rFonts w:ascii="Cambria" w:hAnsi="Cambria"/>
              </w:rPr>
            </w:pPr>
            <w:r w:rsidRPr="00EA0EA9">
              <w:rPr>
                <w:rFonts w:ascii="Cambria" w:hAnsi="Cambria"/>
                <w:sz w:val="22"/>
              </w:rPr>
              <w:t xml:space="preserve">Voluntary Associations </w:t>
            </w:r>
          </w:p>
          <w:p w14:paraId="6F063E4B" w14:textId="77777777" w:rsidR="00382E47" w:rsidRPr="00EA0EA9" w:rsidRDefault="00382E47" w:rsidP="00352B52">
            <w:pPr>
              <w:numPr>
                <w:ilvl w:val="0"/>
                <w:numId w:val="29"/>
              </w:numPr>
              <w:jc w:val="both"/>
              <w:rPr>
                <w:rFonts w:ascii="Cambria" w:hAnsi="Cambria"/>
              </w:rPr>
            </w:pPr>
            <w:r w:rsidRPr="00EA0EA9">
              <w:rPr>
                <w:rFonts w:ascii="Cambria" w:hAnsi="Cambria"/>
                <w:sz w:val="22"/>
              </w:rPr>
              <w:t>Trusts</w:t>
            </w:r>
          </w:p>
          <w:p w14:paraId="5D90A733" w14:textId="77777777" w:rsidR="00382E47" w:rsidRPr="00EA0EA9" w:rsidRDefault="00382E47" w:rsidP="00352B52">
            <w:pPr>
              <w:numPr>
                <w:ilvl w:val="0"/>
                <w:numId w:val="30"/>
              </w:numPr>
              <w:jc w:val="both"/>
              <w:rPr>
                <w:rFonts w:ascii="Cambria" w:hAnsi="Cambria"/>
              </w:rPr>
            </w:pPr>
            <w:r w:rsidRPr="00EA0EA9">
              <w:rPr>
                <w:rFonts w:ascii="Cambria" w:hAnsi="Cambria"/>
                <w:sz w:val="22"/>
              </w:rPr>
              <w:t xml:space="preserve">Section 21 Companies </w:t>
            </w:r>
          </w:p>
        </w:tc>
        <w:tc>
          <w:tcPr>
            <w:tcW w:w="288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tcPr>
          <w:p w14:paraId="116B355C" w14:textId="77777777" w:rsidR="00382E47" w:rsidRPr="00EA0EA9" w:rsidRDefault="00382E47" w:rsidP="0097305B">
            <w:pPr>
              <w:jc w:val="both"/>
              <w:rPr>
                <w:rFonts w:ascii="Cambria" w:hAnsi="Cambria"/>
              </w:rPr>
            </w:pPr>
          </w:p>
          <w:p w14:paraId="58EAB820" w14:textId="77777777" w:rsidR="00382E47" w:rsidRPr="00EA0EA9" w:rsidRDefault="00382E47" w:rsidP="0097305B">
            <w:pPr>
              <w:jc w:val="both"/>
              <w:rPr>
                <w:rFonts w:ascii="Cambria" w:hAnsi="Cambria"/>
              </w:rPr>
            </w:pPr>
            <w:r w:rsidRPr="00EA0EA9">
              <w:rPr>
                <w:rFonts w:ascii="Cambria" w:hAnsi="Cambria"/>
                <w:sz w:val="22"/>
              </w:rPr>
              <w:t>Legal entities available to NPOs</w:t>
            </w:r>
          </w:p>
        </w:tc>
      </w:tr>
      <w:tr w:rsidR="00382E47" w:rsidRPr="00EA0EA9" w14:paraId="4AC7C06D" w14:textId="77777777" w:rsidTr="00E26CF7">
        <w:trPr>
          <w:trHeight w:val="920"/>
        </w:trPr>
        <w:tc>
          <w:tcPr>
            <w:tcW w:w="110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tcPr>
          <w:p w14:paraId="75C29AE0" w14:textId="77777777" w:rsidR="00382E47" w:rsidRPr="00EA0EA9" w:rsidRDefault="00382E47" w:rsidP="0097305B">
            <w:pPr>
              <w:jc w:val="both"/>
              <w:rPr>
                <w:rFonts w:ascii="Cambria" w:hAnsi="Cambria"/>
              </w:rPr>
            </w:pPr>
            <w:r w:rsidRPr="00EA0EA9">
              <w:rPr>
                <w:rFonts w:ascii="Cambria" w:hAnsi="Cambria"/>
                <w:b/>
                <w:bCs/>
                <w:i/>
                <w:iCs/>
                <w:sz w:val="22"/>
              </w:rPr>
              <w:t xml:space="preserve">TIER 2 </w:t>
            </w:r>
          </w:p>
        </w:tc>
        <w:tc>
          <w:tcPr>
            <w:tcW w:w="255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tcPr>
          <w:p w14:paraId="45BC817B" w14:textId="77777777" w:rsidR="00382E47" w:rsidRPr="00EA0EA9" w:rsidRDefault="00382E47" w:rsidP="0097305B">
            <w:pPr>
              <w:jc w:val="both"/>
              <w:rPr>
                <w:rFonts w:ascii="Cambria" w:hAnsi="Cambria"/>
              </w:rPr>
            </w:pPr>
            <w:r w:rsidRPr="00EA0EA9">
              <w:rPr>
                <w:rFonts w:ascii="Cambria" w:hAnsi="Cambria"/>
                <w:sz w:val="22"/>
              </w:rPr>
              <w:t xml:space="preserve">Non-profit Organisations </w:t>
            </w:r>
          </w:p>
          <w:p w14:paraId="6BC01A22" w14:textId="77777777" w:rsidR="00382E47" w:rsidRPr="00EA0EA9" w:rsidRDefault="00382E47" w:rsidP="0097305B">
            <w:pPr>
              <w:jc w:val="both"/>
              <w:rPr>
                <w:rFonts w:ascii="Cambria" w:hAnsi="Cambria"/>
              </w:rPr>
            </w:pPr>
            <w:r w:rsidRPr="00EA0EA9">
              <w:rPr>
                <w:rFonts w:ascii="Cambria" w:hAnsi="Cambria"/>
                <w:sz w:val="22"/>
              </w:rPr>
              <w:t>NPO Act (71) of 1997</w:t>
            </w:r>
          </w:p>
        </w:tc>
        <w:tc>
          <w:tcPr>
            <w:tcW w:w="2703"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tcPr>
          <w:p w14:paraId="43B76B02" w14:textId="77777777" w:rsidR="00382E47" w:rsidRPr="00EA0EA9" w:rsidRDefault="00382E47" w:rsidP="00352B52">
            <w:pPr>
              <w:numPr>
                <w:ilvl w:val="0"/>
                <w:numId w:val="31"/>
              </w:numPr>
              <w:jc w:val="both"/>
              <w:rPr>
                <w:rFonts w:ascii="Cambria" w:hAnsi="Cambria"/>
              </w:rPr>
            </w:pPr>
            <w:r w:rsidRPr="00EA0EA9">
              <w:rPr>
                <w:rFonts w:ascii="Cambria" w:hAnsi="Cambria"/>
                <w:sz w:val="22"/>
              </w:rPr>
              <w:t>Voluntary Associations</w:t>
            </w:r>
          </w:p>
          <w:p w14:paraId="6E9111DA" w14:textId="77777777" w:rsidR="00382E47" w:rsidRPr="00EA0EA9" w:rsidRDefault="00382E47" w:rsidP="00352B52">
            <w:pPr>
              <w:numPr>
                <w:ilvl w:val="0"/>
                <w:numId w:val="32"/>
              </w:numPr>
              <w:jc w:val="both"/>
              <w:rPr>
                <w:rFonts w:ascii="Cambria" w:hAnsi="Cambria"/>
              </w:rPr>
            </w:pPr>
            <w:r w:rsidRPr="00EA0EA9">
              <w:rPr>
                <w:rFonts w:ascii="Cambria" w:hAnsi="Cambria"/>
                <w:sz w:val="22"/>
              </w:rPr>
              <w:t>Trusts</w:t>
            </w:r>
          </w:p>
          <w:p w14:paraId="4E66C823" w14:textId="77777777" w:rsidR="00382E47" w:rsidRPr="00EA0EA9" w:rsidRDefault="00382E47" w:rsidP="00352B52">
            <w:pPr>
              <w:numPr>
                <w:ilvl w:val="0"/>
                <w:numId w:val="33"/>
              </w:numPr>
              <w:jc w:val="both"/>
              <w:rPr>
                <w:rFonts w:ascii="Cambria" w:hAnsi="Cambria"/>
              </w:rPr>
            </w:pPr>
            <w:r w:rsidRPr="00EA0EA9">
              <w:rPr>
                <w:rFonts w:ascii="Cambria" w:hAnsi="Cambria"/>
                <w:sz w:val="22"/>
              </w:rPr>
              <w:t>Section 21 Companies</w:t>
            </w:r>
          </w:p>
        </w:tc>
        <w:tc>
          <w:tcPr>
            <w:tcW w:w="2887"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vAlign w:val="center"/>
          </w:tcPr>
          <w:p w14:paraId="5818CEF0" w14:textId="77777777" w:rsidR="00382E47" w:rsidRPr="00EA0EA9" w:rsidRDefault="00382E47" w:rsidP="0097305B">
            <w:pPr>
              <w:jc w:val="both"/>
              <w:rPr>
                <w:rFonts w:ascii="Cambria" w:hAnsi="Cambria"/>
              </w:rPr>
            </w:pPr>
            <w:r w:rsidRPr="00EA0EA9">
              <w:rPr>
                <w:rFonts w:ascii="Cambria" w:hAnsi="Cambria"/>
                <w:sz w:val="22"/>
              </w:rPr>
              <w:t>Able to register as NPOs</w:t>
            </w:r>
          </w:p>
        </w:tc>
      </w:tr>
      <w:tr w:rsidR="00382E47" w:rsidRPr="00EA0EA9" w14:paraId="54E4AE80" w14:textId="77777777" w:rsidTr="00E70A87">
        <w:trPr>
          <w:trHeight w:val="972"/>
        </w:trPr>
        <w:tc>
          <w:tcPr>
            <w:tcW w:w="110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tcPr>
          <w:p w14:paraId="6C2DFD5F" w14:textId="77777777" w:rsidR="00382E47" w:rsidRPr="00EA0EA9" w:rsidRDefault="00382E47" w:rsidP="0097305B">
            <w:pPr>
              <w:jc w:val="both"/>
              <w:rPr>
                <w:rFonts w:ascii="Cambria" w:hAnsi="Cambria"/>
              </w:rPr>
            </w:pPr>
            <w:r w:rsidRPr="00EA0EA9">
              <w:rPr>
                <w:rFonts w:ascii="Cambria" w:hAnsi="Cambria"/>
                <w:b/>
                <w:bCs/>
                <w:i/>
                <w:iCs/>
                <w:sz w:val="22"/>
              </w:rPr>
              <w:t>TIER 3</w:t>
            </w:r>
          </w:p>
        </w:tc>
        <w:tc>
          <w:tcPr>
            <w:tcW w:w="255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tcPr>
          <w:p w14:paraId="3B5E154E" w14:textId="77777777" w:rsidR="00382E47" w:rsidRPr="00EA0EA9" w:rsidRDefault="00382E47" w:rsidP="0097305B">
            <w:pPr>
              <w:jc w:val="both"/>
              <w:rPr>
                <w:rFonts w:ascii="Cambria" w:hAnsi="Cambria"/>
              </w:rPr>
            </w:pPr>
            <w:r w:rsidRPr="00EA0EA9">
              <w:rPr>
                <w:rFonts w:ascii="Cambria" w:hAnsi="Cambria"/>
                <w:sz w:val="22"/>
              </w:rPr>
              <w:t>Income Tax Act 58 of 1962, Section 30 (1)</w:t>
            </w:r>
          </w:p>
        </w:tc>
        <w:tc>
          <w:tcPr>
            <w:tcW w:w="5590" w:type="dxa"/>
            <w:gridSpan w:val="2"/>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tcPr>
          <w:p w14:paraId="23642B7A" w14:textId="77777777" w:rsidR="00382E47" w:rsidRPr="00EA0EA9" w:rsidRDefault="00382E47" w:rsidP="00A8695C">
            <w:pPr>
              <w:jc w:val="both"/>
              <w:rPr>
                <w:rFonts w:ascii="Cambria" w:hAnsi="Cambria"/>
              </w:rPr>
            </w:pPr>
            <w:r w:rsidRPr="00EA0EA9">
              <w:rPr>
                <w:rFonts w:ascii="Cambria" w:hAnsi="Cambria"/>
                <w:sz w:val="22"/>
              </w:rPr>
              <w:t xml:space="preserve">Registered entities under the (NPO Act 71 of 1997) are able to register as PBOs under the Income Tax Act. PBOs are entitled to a broad range of tax benefits including income tax exemption.  </w:t>
            </w:r>
          </w:p>
        </w:tc>
      </w:tr>
      <w:tr w:rsidR="00382E47" w:rsidRPr="00EA0EA9" w14:paraId="17FC054B" w14:textId="77777777" w:rsidTr="001720BE">
        <w:trPr>
          <w:trHeight w:val="723"/>
        </w:trPr>
        <w:tc>
          <w:tcPr>
            <w:tcW w:w="110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tcPr>
          <w:p w14:paraId="640753C4" w14:textId="77777777" w:rsidR="00382E47" w:rsidRPr="00EA0EA9" w:rsidRDefault="00382E47" w:rsidP="0097305B">
            <w:pPr>
              <w:jc w:val="both"/>
              <w:rPr>
                <w:rFonts w:ascii="Cambria" w:hAnsi="Cambria"/>
              </w:rPr>
            </w:pPr>
            <w:r w:rsidRPr="00EA0EA9">
              <w:rPr>
                <w:rFonts w:ascii="Cambria" w:hAnsi="Cambria"/>
                <w:b/>
                <w:bCs/>
                <w:i/>
                <w:iCs/>
                <w:sz w:val="22"/>
              </w:rPr>
              <w:t xml:space="preserve">TIER 4 </w:t>
            </w:r>
          </w:p>
        </w:tc>
        <w:tc>
          <w:tcPr>
            <w:tcW w:w="2551" w:type="dxa"/>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tcPr>
          <w:p w14:paraId="08257C4B" w14:textId="77777777" w:rsidR="00382E47" w:rsidRPr="00EA0EA9" w:rsidRDefault="00382E47" w:rsidP="0097305B">
            <w:pPr>
              <w:jc w:val="both"/>
              <w:rPr>
                <w:rFonts w:ascii="Cambria" w:hAnsi="Cambria"/>
              </w:rPr>
            </w:pPr>
            <w:r w:rsidRPr="00EA0EA9">
              <w:rPr>
                <w:rFonts w:ascii="Cambria" w:hAnsi="Cambria"/>
                <w:sz w:val="22"/>
              </w:rPr>
              <w:t xml:space="preserve">Application for tax-deductible or “donor” deductible status </w:t>
            </w:r>
          </w:p>
        </w:tc>
        <w:tc>
          <w:tcPr>
            <w:tcW w:w="5590" w:type="dxa"/>
            <w:gridSpan w:val="2"/>
            <w:tcBorders>
              <w:top w:val="single" w:sz="4" w:space="0" w:color="000000"/>
              <w:left w:val="single" w:sz="4" w:space="0" w:color="000000"/>
              <w:bottom w:val="single" w:sz="4" w:space="0" w:color="000000"/>
              <w:right w:val="single" w:sz="4" w:space="0" w:color="000000"/>
            </w:tcBorders>
            <w:shd w:val="clear" w:color="auto" w:fill="C2D69B" w:themeFill="accent3" w:themeFillTint="99"/>
            <w:tcMar>
              <w:top w:w="80" w:type="dxa"/>
              <w:left w:w="80" w:type="dxa"/>
              <w:bottom w:w="80" w:type="dxa"/>
              <w:right w:w="80" w:type="dxa"/>
            </w:tcMar>
          </w:tcPr>
          <w:p w14:paraId="211E06EA" w14:textId="77777777" w:rsidR="00382E47" w:rsidRPr="00EA0EA9" w:rsidRDefault="00382E47" w:rsidP="0097305B">
            <w:pPr>
              <w:jc w:val="both"/>
              <w:rPr>
                <w:rFonts w:ascii="Cambria" w:hAnsi="Cambria"/>
              </w:rPr>
            </w:pPr>
            <w:r w:rsidRPr="00EA0EA9">
              <w:rPr>
                <w:rFonts w:ascii="Cambria" w:hAnsi="Cambria"/>
                <w:sz w:val="22"/>
              </w:rPr>
              <w:t xml:space="preserve">PBOs can apply for the right to receive tax-deductible donations. Part 2, Ninth Schedule, Income Tax Act 58 of 1962). </w:t>
            </w:r>
          </w:p>
        </w:tc>
      </w:tr>
    </w:tbl>
    <w:p w14:paraId="3A63D042" w14:textId="77777777" w:rsidR="0097305B" w:rsidRPr="00EA0EA9" w:rsidRDefault="0097305B" w:rsidP="0097305B">
      <w:pPr>
        <w:jc w:val="both"/>
        <w:rPr>
          <w:b/>
          <w:bCs/>
        </w:rPr>
        <w:sectPr w:rsidR="0097305B" w:rsidRPr="00EA0EA9">
          <w:pgSz w:w="11900" w:h="16840"/>
          <w:pgMar w:top="1440" w:right="1440" w:bottom="1440" w:left="1440" w:header="708" w:footer="708" w:gutter="0"/>
          <w:cols w:space="720"/>
        </w:sectPr>
      </w:pPr>
    </w:p>
    <w:p w14:paraId="22394ECB" w14:textId="47E910C6" w:rsidR="001720BE" w:rsidRPr="00533681" w:rsidRDefault="00533681" w:rsidP="00533681">
      <w:pPr>
        <w:pStyle w:val="Caption"/>
        <w:rPr>
          <w:rFonts w:asciiTheme="majorHAnsi" w:hAnsiTheme="majorHAnsi"/>
          <w:color w:val="auto"/>
          <w:sz w:val="32"/>
        </w:rPr>
      </w:pPr>
      <w:bookmarkStart w:id="41" w:name="_Toc476984145"/>
      <w:r w:rsidRPr="00533681">
        <w:rPr>
          <w:rFonts w:asciiTheme="majorHAnsi" w:hAnsiTheme="majorHAnsi"/>
          <w:color w:val="auto"/>
          <w:sz w:val="22"/>
        </w:rPr>
        <w:lastRenderedPageBreak/>
        <w:t xml:space="preserve">Table </w:t>
      </w:r>
      <w:r w:rsidRPr="00533681">
        <w:rPr>
          <w:rFonts w:asciiTheme="majorHAnsi" w:hAnsiTheme="majorHAnsi"/>
          <w:color w:val="auto"/>
          <w:sz w:val="22"/>
        </w:rPr>
        <w:fldChar w:fldCharType="begin"/>
      </w:r>
      <w:r w:rsidRPr="00533681">
        <w:rPr>
          <w:rFonts w:asciiTheme="majorHAnsi" w:hAnsiTheme="majorHAnsi"/>
          <w:color w:val="auto"/>
          <w:sz w:val="22"/>
        </w:rPr>
        <w:instrText xml:space="preserve"> SEQ Table \* ARABIC </w:instrText>
      </w:r>
      <w:r w:rsidRPr="00533681">
        <w:rPr>
          <w:rFonts w:asciiTheme="majorHAnsi" w:hAnsiTheme="majorHAnsi"/>
          <w:color w:val="auto"/>
          <w:sz w:val="22"/>
        </w:rPr>
        <w:fldChar w:fldCharType="separate"/>
      </w:r>
      <w:r w:rsidRPr="00533681">
        <w:rPr>
          <w:rFonts w:asciiTheme="majorHAnsi" w:hAnsiTheme="majorHAnsi"/>
          <w:noProof/>
          <w:color w:val="auto"/>
          <w:sz w:val="22"/>
        </w:rPr>
        <w:t>6</w:t>
      </w:r>
      <w:r w:rsidRPr="00533681">
        <w:rPr>
          <w:rFonts w:asciiTheme="majorHAnsi" w:hAnsiTheme="majorHAnsi"/>
          <w:color w:val="auto"/>
          <w:sz w:val="22"/>
        </w:rPr>
        <w:fldChar w:fldCharType="end"/>
      </w:r>
      <w:r w:rsidRPr="00533681">
        <w:rPr>
          <w:rFonts w:asciiTheme="majorHAnsi" w:hAnsiTheme="majorHAnsi"/>
          <w:color w:val="auto"/>
          <w:sz w:val="22"/>
        </w:rPr>
        <w:t>: Legal Rights and Restrictions on different types of Organisations</w:t>
      </w:r>
      <w:bookmarkEnd w:id="41"/>
    </w:p>
    <w:tbl>
      <w:tblPr>
        <w:tblStyle w:val="MediumShading2-Accent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5"/>
        <w:gridCol w:w="1750"/>
        <w:gridCol w:w="1746"/>
        <w:gridCol w:w="1752"/>
        <w:gridCol w:w="1730"/>
        <w:gridCol w:w="1754"/>
        <w:gridCol w:w="1747"/>
        <w:gridCol w:w="1736"/>
      </w:tblGrid>
      <w:tr w:rsidR="001720BE" w:rsidRPr="00EA0EA9" w14:paraId="7A31CDE7" w14:textId="77777777" w:rsidTr="001720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71" w:type="dxa"/>
            <w:tcBorders>
              <w:top w:val="none" w:sz="0" w:space="0" w:color="auto"/>
              <w:left w:val="none" w:sz="0" w:space="0" w:color="auto"/>
              <w:bottom w:val="none" w:sz="0" w:space="0" w:color="auto"/>
              <w:right w:val="none" w:sz="0" w:space="0" w:color="auto"/>
            </w:tcBorders>
          </w:tcPr>
          <w:p w14:paraId="0B907AEB" w14:textId="77777777" w:rsidR="001720BE" w:rsidRPr="00EA0EA9" w:rsidRDefault="001720BE" w:rsidP="00111DA5">
            <w:pPr>
              <w:jc w:val="both"/>
              <w:rPr>
                <w:rFonts w:ascii="Cambria" w:hAnsi="Cambria"/>
                <w:sz w:val="20"/>
              </w:rPr>
            </w:pPr>
            <w:r w:rsidRPr="00EA0EA9">
              <w:rPr>
                <w:rFonts w:ascii="Cambria" w:hAnsi="Cambria"/>
                <w:b w:val="0"/>
                <w:bCs w:val="0"/>
                <w:sz w:val="20"/>
              </w:rPr>
              <w:t>Types of organisations</w:t>
            </w:r>
          </w:p>
        </w:tc>
        <w:tc>
          <w:tcPr>
            <w:tcW w:w="1771" w:type="dxa"/>
            <w:tcBorders>
              <w:top w:val="none" w:sz="0" w:space="0" w:color="auto"/>
              <w:left w:val="none" w:sz="0" w:space="0" w:color="auto"/>
              <w:bottom w:val="none" w:sz="0" w:space="0" w:color="auto"/>
              <w:right w:val="none" w:sz="0" w:space="0" w:color="auto"/>
            </w:tcBorders>
          </w:tcPr>
          <w:p w14:paraId="40C8538D" w14:textId="77777777" w:rsidR="001720BE" w:rsidRPr="00EA0EA9" w:rsidRDefault="001720BE" w:rsidP="00111DA5">
            <w:pPr>
              <w:jc w:val="both"/>
              <w:cnfStyle w:val="100000000000" w:firstRow="1" w:lastRow="0" w:firstColumn="0" w:lastColumn="0" w:oddVBand="0" w:evenVBand="0" w:oddHBand="0" w:evenHBand="0" w:firstRowFirstColumn="0" w:firstRowLastColumn="0" w:lastRowFirstColumn="0" w:lastRowLastColumn="0"/>
              <w:rPr>
                <w:rFonts w:ascii="Cambria" w:hAnsi="Cambria"/>
                <w:sz w:val="20"/>
              </w:rPr>
            </w:pPr>
            <w:r w:rsidRPr="00EA0EA9">
              <w:rPr>
                <w:rFonts w:ascii="Cambria" w:hAnsi="Cambria"/>
                <w:b w:val="0"/>
                <w:bCs w:val="0"/>
                <w:sz w:val="20"/>
              </w:rPr>
              <w:t xml:space="preserve">Inurement </w:t>
            </w:r>
          </w:p>
        </w:tc>
        <w:tc>
          <w:tcPr>
            <w:tcW w:w="1772" w:type="dxa"/>
            <w:tcBorders>
              <w:top w:val="none" w:sz="0" w:space="0" w:color="auto"/>
              <w:left w:val="none" w:sz="0" w:space="0" w:color="auto"/>
              <w:bottom w:val="none" w:sz="0" w:space="0" w:color="auto"/>
              <w:right w:val="none" w:sz="0" w:space="0" w:color="auto"/>
            </w:tcBorders>
          </w:tcPr>
          <w:p w14:paraId="603A1B51" w14:textId="77777777" w:rsidR="001720BE" w:rsidRPr="00EA0EA9" w:rsidRDefault="001720BE" w:rsidP="00111DA5">
            <w:pPr>
              <w:jc w:val="both"/>
              <w:cnfStyle w:val="100000000000" w:firstRow="1" w:lastRow="0" w:firstColumn="0" w:lastColumn="0" w:oddVBand="0" w:evenVBand="0" w:oddHBand="0" w:evenHBand="0" w:firstRowFirstColumn="0" w:firstRowLastColumn="0" w:lastRowFirstColumn="0" w:lastRowLastColumn="0"/>
              <w:rPr>
                <w:rFonts w:ascii="Cambria" w:hAnsi="Cambria"/>
                <w:sz w:val="20"/>
              </w:rPr>
            </w:pPr>
            <w:r w:rsidRPr="00EA0EA9">
              <w:rPr>
                <w:rFonts w:ascii="Cambria" w:hAnsi="Cambria"/>
                <w:b w:val="0"/>
                <w:bCs w:val="0"/>
                <w:sz w:val="20"/>
              </w:rPr>
              <w:t>Proprietary Interest</w:t>
            </w:r>
          </w:p>
        </w:tc>
        <w:tc>
          <w:tcPr>
            <w:tcW w:w="1772" w:type="dxa"/>
            <w:tcBorders>
              <w:top w:val="none" w:sz="0" w:space="0" w:color="auto"/>
              <w:left w:val="none" w:sz="0" w:space="0" w:color="auto"/>
              <w:bottom w:val="none" w:sz="0" w:space="0" w:color="auto"/>
              <w:right w:val="none" w:sz="0" w:space="0" w:color="auto"/>
            </w:tcBorders>
          </w:tcPr>
          <w:p w14:paraId="3036DD20" w14:textId="77777777" w:rsidR="001720BE" w:rsidRPr="00EA0EA9" w:rsidRDefault="001720BE" w:rsidP="00111DA5">
            <w:pPr>
              <w:jc w:val="both"/>
              <w:cnfStyle w:val="100000000000" w:firstRow="1" w:lastRow="0" w:firstColumn="0" w:lastColumn="0" w:oddVBand="0" w:evenVBand="0" w:oddHBand="0" w:evenHBand="0" w:firstRowFirstColumn="0" w:firstRowLastColumn="0" w:lastRowFirstColumn="0" w:lastRowLastColumn="0"/>
              <w:rPr>
                <w:rFonts w:ascii="Cambria" w:hAnsi="Cambria"/>
                <w:sz w:val="20"/>
              </w:rPr>
            </w:pPr>
            <w:r w:rsidRPr="00EA0EA9">
              <w:rPr>
                <w:rFonts w:ascii="Cambria" w:hAnsi="Cambria"/>
                <w:b w:val="0"/>
                <w:bCs w:val="0"/>
                <w:sz w:val="20"/>
              </w:rPr>
              <w:t xml:space="preserve">Dissolution </w:t>
            </w:r>
          </w:p>
        </w:tc>
        <w:tc>
          <w:tcPr>
            <w:tcW w:w="1772" w:type="dxa"/>
            <w:tcBorders>
              <w:top w:val="none" w:sz="0" w:space="0" w:color="auto"/>
              <w:left w:val="none" w:sz="0" w:space="0" w:color="auto"/>
              <w:bottom w:val="none" w:sz="0" w:space="0" w:color="auto"/>
              <w:right w:val="none" w:sz="0" w:space="0" w:color="auto"/>
            </w:tcBorders>
          </w:tcPr>
          <w:p w14:paraId="43CDE147" w14:textId="77777777" w:rsidR="001720BE" w:rsidRPr="00EA0EA9" w:rsidRDefault="001720BE" w:rsidP="00111DA5">
            <w:pPr>
              <w:jc w:val="both"/>
              <w:cnfStyle w:val="100000000000" w:firstRow="1" w:lastRow="0" w:firstColumn="0" w:lastColumn="0" w:oddVBand="0" w:evenVBand="0" w:oddHBand="0" w:evenHBand="0" w:firstRowFirstColumn="0" w:firstRowLastColumn="0" w:lastRowFirstColumn="0" w:lastRowLastColumn="0"/>
              <w:rPr>
                <w:rFonts w:ascii="Cambria" w:hAnsi="Cambria"/>
                <w:sz w:val="20"/>
              </w:rPr>
            </w:pPr>
            <w:r w:rsidRPr="00EA0EA9">
              <w:rPr>
                <w:rFonts w:ascii="Cambria" w:hAnsi="Cambria"/>
                <w:b w:val="0"/>
                <w:bCs w:val="0"/>
                <w:sz w:val="20"/>
              </w:rPr>
              <w:t xml:space="preserve">Activities </w:t>
            </w:r>
          </w:p>
        </w:tc>
        <w:tc>
          <w:tcPr>
            <w:tcW w:w="1772" w:type="dxa"/>
            <w:tcBorders>
              <w:top w:val="none" w:sz="0" w:space="0" w:color="auto"/>
              <w:left w:val="none" w:sz="0" w:space="0" w:color="auto"/>
              <w:bottom w:val="none" w:sz="0" w:space="0" w:color="auto"/>
              <w:right w:val="none" w:sz="0" w:space="0" w:color="auto"/>
            </w:tcBorders>
          </w:tcPr>
          <w:p w14:paraId="4C4833AA" w14:textId="77777777" w:rsidR="001720BE" w:rsidRPr="00EA0EA9" w:rsidRDefault="001720BE" w:rsidP="00111DA5">
            <w:pPr>
              <w:jc w:val="both"/>
              <w:cnfStyle w:val="100000000000" w:firstRow="1" w:lastRow="0" w:firstColumn="0" w:lastColumn="0" w:oddVBand="0" w:evenVBand="0" w:oddHBand="0" w:evenHBand="0" w:firstRowFirstColumn="0" w:firstRowLastColumn="0" w:lastRowFirstColumn="0" w:lastRowLastColumn="0"/>
              <w:rPr>
                <w:rFonts w:ascii="Cambria" w:hAnsi="Cambria"/>
                <w:sz w:val="20"/>
              </w:rPr>
            </w:pPr>
            <w:r w:rsidRPr="00EA0EA9">
              <w:rPr>
                <w:rFonts w:ascii="Cambria" w:hAnsi="Cambria"/>
                <w:b w:val="0"/>
                <w:bCs w:val="0"/>
                <w:sz w:val="20"/>
              </w:rPr>
              <w:t xml:space="preserve">Economic Activities </w:t>
            </w:r>
          </w:p>
        </w:tc>
        <w:tc>
          <w:tcPr>
            <w:tcW w:w="1772" w:type="dxa"/>
            <w:tcBorders>
              <w:top w:val="none" w:sz="0" w:space="0" w:color="auto"/>
              <w:left w:val="none" w:sz="0" w:space="0" w:color="auto"/>
              <w:bottom w:val="none" w:sz="0" w:space="0" w:color="auto"/>
              <w:right w:val="none" w:sz="0" w:space="0" w:color="auto"/>
            </w:tcBorders>
          </w:tcPr>
          <w:p w14:paraId="08F2D68E" w14:textId="77777777" w:rsidR="001720BE" w:rsidRPr="00EA0EA9" w:rsidRDefault="001720BE" w:rsidP="00111DA5">
            <w:pPr>
              <w:jc w:val="both"/>
              <w:cnfStyle w:val="100000000000" w:firstRow="1" w:lastRow="0" w:firstColumn="0" w:lastColumn="0" w:oddVBand="0" w:evenVBand="0" w:oddHBand="0" w:evenHBand="0" w:firstRowFirstColumn="0" w:firstRowLastColumn="0" w:lastRowFirstColumn="0" w:lastRowLastColumn="0"/>
              <w:rPr>
                <w:rFonts w:ascii="Cambria" w:hAnsi="Cambria"/>
                <w:sz w:val="20"/>
              </w:rPr>
            </w:pPr>
            <w:r w:rsidRPr="00EA0EA9">
              <w:rPr>
                <w:rFonts w:ascii="Cambria" w:hAnsi="Cambria"/>
                <w:b w:val="0"/>
                <w:bCs w:val="0"/>
                <w:sz w:val="20"/>
              </w:rPr>
              <w:t xml:space="preserve">Political Activities &amp; Racial Discrimination </w:t>
            </w:r>
          </w:p>
        </w:tc>
        <w:tc>
          <w:tcPr>
            <w:tcW w:w="1772" w:type="dxa"/>
            <w:tcBorders>
              <w:top w:val="none" w:sz="0" w:space="0" w:color="auto"/>
              <w:left w:val="none" w:sz="0" w:space="0" w:color="auto"/>
              <w:bottom w:val="none" w:sz="0" w:space="0" w:color="auto"/>
              <w:right w:val="none" w:sz="0" w:space="0" w:color="auto"/>
            </w:tcBorders>
          </w:tcPr>
          <w:p w14:paraId="671DB83C" w14:textId="77777777" w:rsidR="001720BE" w:rsidRPr="00EA0EA9" w:rsidRDefault="001720BE" w:rsidP="00111DA5">
            <w:pPr>
              <w:jc w:val="both"/>
              <w:cnfStyle w:val="100000000000" w:firstRow="1" w:lastRow="0" w:firstColumn="0" w:lastColumn="0" w:oddVBand="0" w:evenVBand="0" w:oddHBand="0" w:evenHBand="0" w:firstRowFirstColumn="0" w:firstRowLastColumn="0" w:lastRowFirstColumn="0" w:lastRowLastColumn="0"/>
              <w:rPr>
                <w:rFonts w:ascii="Cambria" w:hAnsi="Cambria"/>
                <w:sz w:val="20"/>
              </w:rPr>
            </w:pPr>
            <w:r w:rsidRPr="00EA0EA9">
              <w:rPr>
                <w:rFonts w:ascii="Cambria" w:hAnsi="Cambria"/>
                <w:b w:val="0"/>
                <w:bCs w:val="0"/>
                <w:sz w:val="20"/>
              </w:rPr>
              <w:t xml:space="preserve">Control of Organisation </w:t>
            </w:r>
          </w:p>
        </w:tc>
      </w:tr>
      <w:tr w:rsidR="001720BE" w:rsidRPr="00EA0EA9" w14:paraId="532D9C72" w14:textId="77777777" w:rsidTr="00172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Borders>
              <w:left w:val="none" w:sz="0" w:space="0" w:color="auto"/>
              <w:bottom w:val="none" w:sz="0" w:space="0" w:color="auto"/>
              <w:right w:val="none" w:sz="0" w:space="0" w:color="auto"/>
            </w:tcBorders>
          </w:tcPr>
          <w:p w14:paraId="63B51DA3" w14:textId="77777777" w:rsidR="001720BE" w:rsidRPr="00EA0EA9" w:rsidRDefault="001720BE" w:rsidP="00111DA5">
            <w:pPr>
              <w:jc w:val="both"/>
              <w:rPr>
                <w:rFonts w:ascii="Cambria" w:hAnsi="Cambria"/>
                <w:sz w:val="20"/>
              </w:rPr>
            </w:pPr>
            <w:r w:rsidRPr="00EA0EA9">
              <w:rPr>
                <w:rFonts w:ascii="Cambria" w:hAnsi="Cambria"/>
                <w:b w:val="0"/>
                <w:bCs w:val="0"/>
                <w:sz w:val="20"/>
              </w:rPr>
              <w:t>Voluntary Association</w:t>
            </w:r>
          </w:p>
        </w:tc>
        <w:tc>
          <w:tcPr>
            <w:tcW w:w="1771" w:type="dxa"/>
          </w:tcPr>
          <w:p w14:paraId="363EE6D5" w14:textId="77777777" w:rsidR="001720BE" w:rsidRPr="00EA0EA9" w:rsidRDefault="001720BE" w:rsidP="00111DA5">
            <w:pPr>
              <w:jc w:val="both"/>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EA0EA9">
              <w:rPr>
                <w:rFonts w:ascii="Cambria" w:hAnsi="Cambria"/>
                <w:b/>
                <w:bCs/>
                <w:i/>
                <w:iCs/>
                <w:sz w:val="20"/>
              </w:rPr>
              <w:t>Specific</w:t>
            </w:r>
            <w:r w:rsidRPr="00EA0EA9">
              <w:rPr>
                <w:rFonts w:ascii="Cambria" w:hAnsi="Cambria"/>
                <w:sz w:val="20"/>
              </w:rPr>
              <w:t xml:space="preserve"> prohibitions included in association’s founding documents; and</w:t>
            </w:r>
          </w:p>
          <w:p w14:paraId="262A5372" w14:textId="77777777" w:rsidR="001720BE" w:rsidRPr="00EA0EA9" w:rsidRDefault="001720BE" w:rsidP="00111DA5">
            <w:pPr>
              <w:jc w:val="both"/>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EA0EA9">
              <w:rPr>
                <w:rFonts w:ascii="Cambria" w:hAnsi="Cambria"/>
                <w:b/>
                <w:bCs/>
                <w:i/>
                <w:iCs/>
                <w:sz w:val="20"/>
              </w:rPr>
              <w:t>Governing</w:t>
            </w:r>
            <w:r w:rsidRPr="00EA0EA9">
              <w:rPr>
                <w:rFonts w:ascii="Cambria" w:hAnsi="Cambria"/>
                <w:sz w:val="20"/>
              </w:rPr>
              <w:t xml:space="preserve"> board members bound by duty to act in good faith and avoid conflicts of interest.  </w:t>
            </w:r>
          </w:p>
        </w:tc>
        <w:tc>
          <w:tcPr>
            <w:tcW w:w="1772" w:type="dxa"/>
          </w:tcPr>
          <w:p w14:paraId="40CFFCA1" w14:textId="77777777" w:rsidR="001720BE" w:rsidRPr="00EA0EA9" w:rsidRDefault="001720BE" w:rsidP="00111DA5">
            <w:pPr>
              <w:jc w:val="both"/>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EA0EA9">
              <w:rPr>
                <w:rFonts w:ascii="Cambria" w:hAnsi="Cambria"/>
                <w:b/>
                <w:bCs/>
                <w:i/>
                <w:iCs/>
                <w:sz w:val="20"/>
              </w:rPr>
              <w:t>Any prohibition</w:t>
            </w:r>
            <w:r w:rsidRPr="00EA0EA9">
              <w:rPr>
                <w:rFonts w:ascii="Cambria" w:hAnsi="Cambria"/>
                <w:sz w:val="20"/>
              </w:rPr>
              <w:t xml:space="preserve"> against proprietary interest in organisation’s assets on the part of members, directors or employees, must be detailed in the founding documents. </w:t>
            </w:r>
          </w:p>
        </w:tc>
        <w:tc>
          <w:tcPr>
            <w:tcW w:w="1772" w:type="dxa"/>
          </w:tcPr>
          <w:p w14:paraId="061B7985" w14:textId="77777777" w:rsidR="001720BE" w:rsidRPr="00EA0EA9" w:rsidRDefault="001720BE" w:rsidP="00111DA5">
            <w:pPr>
              <w:jc w:val="both"/>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EA0EA9">
              <w:rPr>
                <w:rFonts w:ascii="Cambria" w:hAnsi="Cambria"/>
                <w:b/>
                <w:bCs/>
                <w:i/>
                <w:iCs/>
                <w:sz w:val="20"/>
              </w:rPr>
              <w:t>Founding documents</w:t>
            </w:r>
            <w:r w:rsidRPr="00EA0EA9">
              <w:rPr>
                <w:rFonts w:ascii="Cambria" w:hAnsi="Cambria"/>
                <w:sz w:val="20"/>
              </w:rPr>
              <w:t xml:space="preserve"> contain relevant provisions on the transfer of assets and property of a voluntary association applicable upon dissolution – regardless of it being a </w:t>
            </w:r>
            <w:proofErr w:type="spellStart"/>
            <w:r w:rsidRPr="00EA0EA9">
              <w:rPr>
                <w:rFonts w:ascii="Cambria" w:hAnsi="Cambria"/>
                <w:i/>
                <w:iCs/>
                <w:sz w:val="20"/>
              </w:rPr>
              <w:t>universitas</w:t>
            </w:r>
            <w:proofErr w:type="spellEnd"/>
            <w:r w:rsidRPr="00EA0EA9">
              <w:rPr>
                <w:rFonts w:ascii="Cambria" w:hAnsi="Cambria"/>
                <w:sz w:val="20"/>
              </w:rPr>
              <w:t xml:space="preserve"> or an informal voluntary association. </w:t>
            </w:r>
          </w:p>
        </w:tc>
        <w:tc>
          <w:tcPr>
            <w:tcW w:w="1772" w:type="dxa"/>
          </w:tcPr>
          <w:p w14:paraId="67118C4D" w14:textId="77777777" w:rsidR="001720BE" w:rsidRPr="00EA0EA9" w:rsidRDefault="001720BE" w:rsidP="00111DA5">
            <w:pPr>
              <w:jc w:val="both"/>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EA0EA9">
              <w:rPr>
                <w:rFonts w:ascii="Cambria" w:hAnsi="Cambria"/>
                <w:b/>
                <w:bCs/>
                <w:i/>
                <w:iCs/>
                <w:sz w:val="20"/>
              </w:rPr>
              <w:t>Any lawful activities</w:t>
            </w:r>
            <w:r w:rsidRPr="00EA0EA9">
              <w:rPr>
                <w:rFonts w:ascii="Cambria" w:hAnsi="Cambria"/>
                <w:sz w:val="20"/>
              </w:rPr>
              <w:t xml:space="preserve"> in pursuit of a legitimate objective are permissible; and</w:t>
            </w:r>
          </w:p>
          <w:p w14:paraId="27404D86" w14:textId="77777777" w:rsidR="001720BE" w:rsidRPr="00EA0EA9" w:rsidRDefault="001720BE" w:rsidP="00111DA5">
            <w:pPr>
              <w:jc w:val="both"/>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EA0EA9">
              <w:rPr>
                <w:rFonts w:ascii="Cambria" w:hAnsi="Cambria"/>
                <w:b/>
                <w:bCs/>
                <w:i/>
                <w:iCs/>
                <w:sz w:val="20"/>
              </w:rPr>
              <w:t>These activities</w:t>
            </w:r>
            <w:r w:rsidRPr="00EA0EA9">
              <w:rPr>
                <w:rFonts w:ascii="Cambria" w:hAnsi="Cambria"/>
                <w:sz w:val="20"/>
              </w:rPr>
              <w:t xml:space="preserve"> cannot be for gain and must be in line with provisions in founding document. </w:t>
            </w:r>
          </w:p>
        </w:tc>
        <w:tc>
          <w:tcPr>
            <w:tcW w:w="1772" w:type="dxa"/>
          </w:tcPr>
          <w:p w14:paraId="68EAE891" w14:textId="77777777" w:rsidR="001720BE" w:rsidRPr="00EA0EA9" w:rsidRDefault="001720BE" w:rsidP="00111DA5">
            <w:pPr>
              <w:jc w:val="both"/>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EA0EA9">
              <w:rPr>
                <w:rFonts w:ascii="Cambria" w:hAnsi="Cambria"/>
                <w:b/>
                <w:bCs/>
                <w:i/>
                <w:iCs/>
                <w:sz w:val="20"/>
              </w:rPr>
              <w:t>Associations</w:t>
            </w:r>
            <w:r w:rsidRPr="00EA0EA9">
              <w:rPr>
                <w:rFonts w:ascii="Cambria" w:hAnsi="Cambria"/>
                <w:sz w:val="20"/>
              </w:rPr>
              <w:t xml:space="preserve"> may to conduct subsidiary activities to earn profits with the provision that acquisition of gain is not the primary objective.</w:t>
            </w:r>
          </w:p>
        </w:tc>
        <w:tc>
          <w:tcPr>
            <w:tcW w:w="1772" w:type="dxa"/>
          </w:tcPr>
          <w:p w14:paraId="16E8E92E" w14:textId="77777777" w:rsidR="001720BE" w:rsidRPr="00EA0EA9" w:rsidRDefault="001720BE" w:rsidP="00111DA5">
            <w:pPr>
              <w:jc w:val="both"/>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EA0EA9">
              <w:rPr>
                <w:rFonts w:ascii="Cambria" w:hAnsi="Cambria"/>
                <w:b/>
                <w:bCs/>
                <w:i/>
                <w:iCs/>
                <w:sz w:val="20"/>
              </w:rPr>
              <w:t>Organisations</w:t>
            </w:r>
            <w:r w:rsidRPr="00EA0EA9">
              <w:rPr>
                <w:rFonts w:ascii="Cambria" w:hAnsi="Cambria"/>
                <w:sz w:val="20"/>
              </w:rPr>
              <w:t xml:space="preserve"> not approved as PBOs are free to engage in political activities; and</w:t>
            </w:r>
          </w:p>
          <w:p w14:paraId="00464FC6" w14:textId="77777777" w:rsidR="001720BE" w:rsidRPr="00EA0EA9" w:rsidRDefault="001720BE" w:rsidP="00111DA5">
            <w:pPr>
              <w:jc w:val="both"/>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EA0EA9">
              <w:rPr>
                <w:rFonts w:ascii="Cambria" w:hAnsi="Cambria"/>
                <w:b/>
                <w:bCs/>
                <w:i/>
                <w:iCs/>
                <w:sz w:val="20"/>
              </w:rPr>
              <w:t>South African law</w:t>
            </w:r>
            <w:r w:rsidRPr="00EA0EA9">
              <w:rPr>
                <w:rFonts w:ascii="Cambria" w:hAnsi="Cambria"/>
                <w:sz w:val="20"/>
              </w:rPr>
              <w:t xml:space="preserve"> does not explicitly </w:t>
            </w:r>
            <w:proofErr w:type="gramStart"/>
            <w:r w:rsidRPr="00EA0EA9">
              <w:rPr>
                <w:rFonts w:ascii="Cambria" w:hAnsi="Cambria"/>
                <w:sz w:val="20"/>
              </w:rPr>
              <w:t>restrict  lobbying</w:t>
            </w:r>
            <w:proofErr w:type="gramEnd"/>
            <w:r w:rsidRPr="00EA0EA9">
              <w:rPr>
                <w:rFonts w:ascii="Cambria" w:hAnsi="Cambria"/>
                <w:sz w:val="20"/>
              </w:rPr>
              <w:t xml:space="preserve"> by any organisations. </w:t>
            </w:r>
          </w:p>
        </w:tc>
        <w:tc>
          <w:tcPr>
            <w:tcW w:w="1772" w:type="dxa"/>
          </w:tcPr>
          <w:p w14:paraId="246F0C0A" w14:textId="77777777" w:rsidR="001720BE" w:rsidRPr="00EA0EA9" w:rsidRDefault="001720BE" w:rsidP="00111DA5">
            <w:pPr>
              <w:jc w:val="both"/>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EA0EA9">
              <w:rPr>
                <w:rFonts w:ascii="Cambria" w:hAnsi="Cambria"/>
                <w:sz w:val="20"/>
              </w:rPr>
              <w:t xml:space="preserve">A management committee is appointed for Voluntary Associations that has executive powers to manage the association. </w:t>
            </w:r>
          </w:p>
        </w:tc>
      </w:tr>
      <w:tr w:rsidR="001720BE" w:rsidRPr="00EA0EA9" w14:paraId="4293912A" w14:textId="77777777" w:rsidTr="001720BE">
        <w:tc>
          <w:tcPr>
            <w:cnfStyle w:val="001000000000" w:firstRow="0" w:lastRow="0" w:firstColumn="1" w:lastColumn="0" w:oddVBand="0" w:evenVBand="0" w:oddHBand="0" w:evenHBand="0" w:firstRowFirstColumn="0" w:firstRowLastColumn="0" w:lastRowFirstColumn="0" w:lastRowLastColumn="0"/>
            <w:tcW w:w="1771" w:type="dxa"/>
            <w:tcBorders>
              <w:left w:val="none" w:sz="0" w:space="0" w:color="auto"/>
              <w:bottom w:val="none" w:sz="0" w:space="0" w:color="auto"/>
              <w:right w:val="none" w:sz="0" w:space="0" w:color="auto"/>
            </w:tcBorders>
          </w:tcPr>
          <w:p w14:paraId="17D7AE36" w14:textId="77777777" w:rsidR="001720BE" w:rsidRPr="00EA0EA9" w:rsidRDefault="001720BE" w:rsidP="00111DA5">
            <w:pPr>
              <w:jc w:val="both"/>
              <w:rPr>
                <w:rFonts w:ascii="Cambria" w:hAnsi="Cambria"/>
                <w:sz w:val="20"/>
              </w:rPr>
            </w:pPr>
            <w:r w:rsidRPr="00EA0EA9">
              <w:rPr>
                <w:rFonts w:ascii="Cambria" w:hAnsi="Cambria"/>
                <w:b w:val="0"/>
                <w:bCs w:val="0"/>
                <w:sz w:val="20"/>
              </w:rPr>
              <w:t>Trusts / Non-profit trusts</w:t>
            </w:r>
          </w:p>
        </w:tc>
        <w:tc>
          <w:tcPr>
            <w:tcW w:w="1771" w:type="dxa"/>
          </w:tcPr>
          <w:p w14:paraId="48431D91" w14:textId="77777777" w:rsidR="001720BE" w:rsidRPr="00EA0EA9" w:rsidRDefault="001720BE" w:rsidP="00111DA5">
            <w:pPr>
              <w:jc w:val="both"/>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EA0EA9">
              <w:rPr>
                <w:rFonts w:ascii="Cambria" w:hAnsi="Cambria"/>
                <w:b/>
                <w:bCs/>
                <w:i/>
                <w:iCs/>
                <w:sz w:val="20"/>
              </w:rPr>
              <w:t>Remuneration</w:t>
            </w:r>
            <w:r w:rsidRPr="00EA0EA9">
              <w:rPr>
                <w:rFonts w:ascii="Cambria" w:hAnsi="Cambria"/>
                <w:sz w:val="20"/>
              </w:rPr>
              <w:t xml:space="preserve"> may be regulated by instrument establishing trust; </w:t>
            </w:r>
          </w:p>
          <w:p w14:paraId="51D2163F" w14:textId="77777777" w:rsidR="001720BE" w:rsidRPr="00EA0EA9" w:rsidRDefault="001720BE" w:rsidP="00111DA5">
            <w:pPr>
              <w:jc w:val="both"/>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EA0EA9">
              <w:rPr>
                <w:rFonts w:ascii="Cambria" w:hAnsi="Cambria"/>
                <w:b/>
                <w:bCs/>
                <w:i/>
                <w:iCs/>
                <w:sz w:val="20"/>
              </w:rPr>
              <w:t>Trustees</w:t>
            </w:r>
            <w:r w:rsidRPr="00EA0EA9">
              <w:rPr>
                <w:rFonts w:ascii="Cambria" w:hAnsi="Cambria"/>
                <w:sz w:val="20"/>
              </w:rPr>
              <w:t xml:space="preserve"> may receive reasonable remuneration when executing official duties (TPCA, 22); </w:t>
            </w:r>
          </w:p>
          <w:p w14:paraId="03AC4F2C" w14:textId="77777777" w:rsidR="001720BE" w:rsidRPr="00EA0EA9" w:rsidRDefault="001720BE" w:rsidP="00111DA5">
            <w:pPr>
              <w:jc w:val="both"/>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EA0EA9">
              <w:rPr>
                <w:rFonts w:ascii="Cambria" w:hAnsi="Cambria"/>
                <w:b/>
                <w:bCs/>
                <w:i/>
                <w:iCs/>
                <w:sz w:val="20"/>
              </w:rPr>
              <w:t>Master</w:t>
            </w:r>
            <w:r w:rsidRPr="00EA0EA9">
              <w:rPr>
                <w:rFonts w:ascii="Cambria" w:hAnsi="Cambria"/>
                <w:sz w:val="20"/>
              </w:rPr>
              <w:t xml:space="preserve"> may set an amount in the event a dispute arises; </w:t>
            </w:r>
          </w:p>
          <w:p w14:paraId="04660E20" w14:textId="77777777" w:rsidR="001720BE" w:rsidRPr="00EA0EA9" w:rsidRDefault="001720BE" w:rsidP="00111DA5">
            <w:pPr>
              <w:jc w:val="both"/>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EA0EA9">
              <w:rPr>
                <w:rFonts w:ascii="Cambria" w:hAnsi="Cambria"/>
                <w:sz w:val="20"/>
              </w:rPr>
              <w:t xml:space="preserve">Auditor of the trust’s accounts </w:t>
            </w:r>
            <w:r w:rsidRPr="00EA0EA9">
              <w:rPr>
                <w:rFonts w:ascii="Cambria" w:hAnsi="Cambria"/>
                <w:sz w:val="20"/>
              </w:rPr>
              <w:lastRenderedPageBreak/>
              <w:t xml:space="preserve">obliged to report any material irregularities in the accounts to trustees (TPCA, 15); and </w:t>
            </w:r>
          </w:p>
          <w:p w14:paraId="5A388B82" w14:textId="77777777" w:rsidR="001720BE" w:rsidRPr="00EA0EA9" w:rsidRDefault="001720BE" w:rsidP="00111DA5">
            <w:pPr>
              <w:jc w:val="both"/>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EA0EA9">
              <w:rPr>
                <w:rFonts w:ascii="Cambria" w:hAnsi="Cambria"/>
                <w:b/>
                <w:bCs/>
                <w:i/>
                <w:iCs/>
                <w:sz w:val="20"/>
              </w:rPr>
              <w:t>Trustees</w:t>
            </w:r>
            <w:r w:rsidRPr="00EA0EA9">
              <w:rPr>
                <w:rFonts w:ascii="Cambria" w:hAnsi="Cambria"/>
                <w:sz w:val="20"/>
              </w:rPr>
              <w:t xml:space="preserve"> required to “act with care, diligence and skill which can reasonably be expected of a person who manages the affairs of another” (TPCA, 9, 1).</w:t>
            </w:r>
          </w:p>
        </w:tc>
        <w:tc>
          <w:tcPr>
            <w:tcW w:w="1772" w:type="dxa"/>
          </w:tcPr>
          <w:p w14:paraId="464CE8AC" w14:textId="77777777" w:rsidR="001720BE" w:rsidRPr="00EA0EA9" w:rsidRDefault="001720BE" w:rsidP="00111DA5">
            <w:pPr>
              <w:jc w:val="both"/>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EA0EA9">
              <w:rPr>
                <w:rFonts w:ascii="Cambria" w:hAnsi="Cambria"/>
                <w:b/>
                <w:bCs/>
                <w:i/>
                <w:iCs/>
                <w:sz w:val="20"/>
              </w:rPr>
              <w:lastRenderedPageBreak/>
              <w:t>Trust</w:t>
            </w:r>
            <w:r w:rsidRPr="00EA0EA9">
              <w:rPr>
                <w:rFonts w:ascii="Cambria" w:hAnsi="Cambria"/>
                <w:sz w:val="20"/>
              </w:rPr>
              <w:t xml:space="preserve"> property may not form part of the personal estate of a trustee;</w:t>
            </w:r>
          </w:p>
          <w:p w14:paraId="0F86DE49" w14:textId="77777777" w:rsidR="001720BE" w:rsidRPr="00EA0EA9" w:rsidRDefault="001720BE" w:rsidP="00111DA5">
            <w:pPr>
              <w:jc w:val="both"/>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EA0EA9">
              <w:rPr>
                <w:rFonts w:ascii="Cambria" w:hAnsi="Cambria"/>
                <w:b/>
                <w:bCs/>
                <w:i/>
                <w:iCs/>
                <w:sz w:val="20"/>
              </w:rPr>
              <w:t>Exceptions</w:t>
            </w:r>
            <w:r w:rsidRPr="00EA0EA9">
              <w:rPr>
                <w:rFonts w:ascii="Cambria" w:hAnsi="Cambria"/>
                <w:sz w:val="20"/>
              </w:rPr>
              <w:t xml:space="preserve"> arise in the case a trustee is also a beneficiary entitled to the property under the trust instrument (TPCA, 12); and </w:t>
            </w:r>
          </w:p>
          <w:p w14:paraId="440A5B27" w14:textId="77777777" w:rsidR="001720BE" w:rsidRPr="00EA0EA9" w:rsidRDefault="001720BE" w:rsidP="00111DA5">
            <w:pPr>
              <w:jc w:val="both"/>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EA0EA9">
              <w:rPr>
                <w:rFonts w:ascii="Cambria" w:hAnsi="Cambria"/>
                <w:b/>
                <w:bCs/>
                <w:i/>
                <w:iCs/>
                <w:sz w:val="20"/>
              </w:rPr>
              <w:t>Beneficiaries</w:t>
            </w:r>
            <w:r w:rsidRPr="00EA0EA9">
              <w:rPr>
                <w:rFonts w:ascii="Cambria" w:hAnsi="Cambria"/>
                <w:sz w:val="20"/>
              </w:rPr>
              <w:t xml:space="preserve"> of the trust are identified within </w:t>
            </w:r>
            <w:r w:rsidRPr="00EA0EA9">
              <w:rPr>
                <w:rFonts w:ascii="Cambria" w:hAnsi="Cambria"/>
                <w:sz w:val="20"/>
              </w:rPr>
              <w:lastRenderedPageBreak/>
              <w:t xml:space="preserve">the trust documents. </w:t>
            </w:r>
          </w:p>
        </w:tc>
        <w:tc>
          <w:tcPr>
            <w:tcW w:w="1772" w:type="dxa"/>
          </w:tcPr>
          <w:p w14:paraId="5C57CFB1" w14:textId="77777777" w:rsidR="001720BE" w:rsidRPr="00EA0EA9" w:rsidRDefault="001720BE" w:rsidP="00111DA5">
            <w:pPr>
              <w:jc w:val="both"/>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EA0EA9">
              <w:rPr>
                <w:rFonts w:ascii="Cambria" w:hAnsi="Cambria"/>
                <w:b/>
                <w:bCs/>
                <w:i/>
                <w:iCs/>
                <w:sz w:val="20"/>
              </w:rPr>
              <w:lastRenderedPageBreak/>
              <w:t>Trust</w:t>
            </w:r>
            <w:r w:rsidRPr="00EA0EA9">
              <w:rPr>
                <w:rFonts w:ascii="Cambria" w:hAnsi="Cambria"/>
                <w:sz w:val="20"/>
              </w:rPr>
              <w:t xml:space="preserve"> can be terminated or have trust provisions altered in rare instances;</w:t>
            </w:r>
          </w:p>
          <w:p w14:paraId="2FC7A20D" w14:textId="77777777" w:rsidR="001720BE" w:rsidRPr="00EA0EA9" w:rsidRDefault="001720BE" w:rsidP="00111DA5">
            <w:pPr>
              <w:jc w:val="both"/>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EA0EA9">
              <w:rPr>
                <w:rFonts w:ascii="Cambria" w:hAnsi="Cambria"/>
                <w:b/>
                <w:bCs/>
                <w:i/>
                <w:iCs/>
                <w:sz w:val="20"/>
              </w:rPr>
              <w:t>Trustee</w:t>
            </w:r>
            <w:r w:rsidRPr="00EA0EA9">
              <w:rPr>
                <w:rFonts w:ascii="Cambria" w:hAnsi="Cambria"/>
                <w:sz w:val="20"/>
              </w:rPr>
              <w:t xml:space="preserve"> or an appointee of the Court found to have sufficient interest in the trust property may do this;</w:t>
            </w:r>
          </w:p>
          <w:p w14:paraId="18A0A404" w14:textId="5F61C126" w:rsidR="001720BE" w:rsidRPr="00EA0EA9" w:rsidRDefault="001720BE" w:rsidP="00111DA5">
            <w:pPr>
              <w:jc w:val="both"/>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EA0EA9">
              <w:rPr>
                <w:rFonts w:ascii="Cambria" w:hAnsi="Cambria"/>
                <w:b/>
                <w:bCs/>
                <w:i/>
                <w:iCs/>
                <w:sz w:val="20"/>
              </w:rPr>
              <w:t>Provisions</w:t>
            </w:r>
            <w:r w:rsidRPr="00EA0EA9">
              <w:rPr>
                <w:rFonts w:ascii="Cambria" w:hAnsi="Cambria"/>
                <w:sz w:val="20"/>
              </w:rPr>
              <w:t xml:space="preserve"> can be altered in </w:t>
            </w:r>
            <w:r w:rsidR="000044F5" w:rsidRPr="00EA0EA9">
              <w:rPr>
                <w:rFonts w:ascii="Cambria" w:hAnsi="Cambria"/>
                <w:sz w:val="20"/>
              </w:rPr>
              <w:t>circumstances where</w:t>
            </w:r>
            <w:r w:rsidRPr="00EA0EA9">
              <w:rPr>
                <w:rFonts w:ascii="Cambria" w:hAnsi="Cambria"/>
                <w:sz w:val="20"/>
              </w:rPr>
              <w:t xml:space="preserve"> they </w:t>
            </w:r>
            <w:r w:rsidRPr="00EA0EA9">
              <w:rPr>
                <w:rFonts w:ascii="Cambria" w:hAnsi="Cambria"/>
                <w:sz w:val="20"/>
              </w:rPr>
              <w:lastRenderedPageBreak/>
              <w:t xml:space="preserve">“prejudice the interests of the beneficiaries or are against the public interest” (TPCA, 13); </w:t>
            </w:r>
          </w:p>
          <w:p w14:paraId="65C0F861" w14:textId="77777777" w:rsidR="001720BE" w:rsidRPr="00EA0EA9" w:rsidRDefault="001720BE" w:rsidP="00111DA5">
            <w:pPr>
              <w:jc w:val="both"/>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EA0EA9">
              <w:rPr>
                <w:rFonts w:ascii="Cambria" w:hAnsi="Cambria"/>
                <w:b/>
                <w:bCs/>
                <w:i/>
                <w:iCs/>
                <w:sz w:val="20"/>
              </w:rPr>
              <w:t>The Trust Property Control Act</w:t>
            </w:r>
            <w:r w:rsidRPr="00EA0EA9">
              <w:rPr>
                <w:rFonts w:ascii="Cambria" w:hAnsi="Cambria"/>
                <w:sz w:val="20"/>
              </w:rPr>
              <w:t xml:space="preserve"> is silent on the treatment of assets of a trust upon termination; however</w:t>
            </w:r>
          </w:p>
          <w:p w14:paraId="370593A8" w14:textId="77777777" w:rsidR="001720BE" w:rsidRPr="00EA0EA9" w:rsidRDefault="001720BE" w:rsidP="00111DA5">
            <w:pPr>
              <w:jc w:val="both"/>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EA0EA9">
              <w:rPr>
                <w:rFonts w:ascii="Cambria" w:hAnsi="Cambria"/>
                <w:b/>
                <w:bCs/>
                <w:i/>
                <w:iCs/>
                <w:sz w:val="20"/>
              </w:rPr>
              <w:t>A trust deed</w:t>
            </w:r>
            <w:r w:rsidRPr="00EA0EA9">
              <w:rPr>
                <w:rFonts w:ascii="Cambria" w:hAnsi="Cambria"/>
                <w:sz w:val="20"/>
              </w:rPr>
              <w:t xml:space="preserve"> must speak to treatment of assets if registered as an NPO or approved PBO.   </w:t>
            </w:r>
          </w:p>
        </w:tc>
        <w:tc>
          <w:tcPr>
            <w:tcW w:w="1772" w:type="dxa"/>
          </w:tcPr>
          <w:p w14:paraId="6BFE5584" w14:textId="77777777" w:rsidR="001720BE" w:rsidRPr="00EA0EA9" w:rsidRDefault="001720BE" w:rsidP="00111DA5">
            <w:pPr>
              <w:jc w:val="both"/>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EA0EA9">
              <w:rPr>
                <w:rFonts w:ascii="Cambria" w:hAnsi="Cambria"/>
                <w:b/>
                <w:bCs/>
                <w:i/>
                <w:iCs/>
                <w:sz w:val="20"/>
              </w:rPr>
              <w:lastRenderedPageBreak/>
              <w:t>Trustees</w:t>
            </w:r>
            <w:r w:rsidRPr="00EA0EA9">
              <w:rPr>
                <w:rFonts w:ascii="Cambria" w:hAnsi="Cambria"/>
                <w:sz w:val="20"/>
              </w:rPr>
              <w:t xml:space="preserve"> permitted to undertake lawful activities;</w:t>
            </w:r>
          </w:p>
          <w:p w14:paraId="17239FB8" w14:textId="77777777" w:rsidR="001720BE" w:rsidRPr="00EA0EA9" w:rsidRDefault="001720BE" w:rsidP="00111DA5">
            <w:pPr>
              <w:jc w:val="both"/>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EA0EA9">
              <w:rPr>
                <w:rFonts w:ascii="Cambria" w:hAnsi="Cambria"/>
                <w:b/>
                <w:bCs/>
                <w:i/>
                <w:iCs/>
                <w:sz w:val="20"/>
              </w:rPr>
              <w:t>Activities</w:t>
            </w:r>
            <w:r w:rsidRPr="00EA0EA9">
              <w:rPr>
                <w:rFonts w:ascii="Cambria" w:hAnsi="Cambria"/>
                <w:sz w:val="20"/>
              </w:rPr>
              <w:t xml:space="preserve"> must remain in the bounds of their fiduciary duties to trust beneficiaries and within the bounds of the trust deed; </w:t>
            </w:r>
          </w:p>
          <w:p w14:paraId="4CB30593" w14:textId="77777777" w:rsidR="001720BE" w:rsidRPr="00EA0EA9" w:rsidRDefault="001720BE" w:rsidP="00111DA5">
            <w:pPr>
              <w:jc w:val="both"/>
              <w:cnfStyle w:val="000000000000" w:firstRow="0" w:lastRow="0" w:firstColumn="0" w:lastColumn="0" w:oddVBand="0" w:evenVBand="0" w:oddHBand="0" w:evenHBand="0" w:firstRowFirstColumn="0" w:firstRowLastColumn="0" w:lastRowFirstColumn="0" w:lastRowLastColumn="0"/>
              <w:rPr>
                <w:rFonts w:ascii="Cambria" w:hAnsi="Cambria"/>
                <w:sz w:val="20"/>
              </w:rPr>
            </w:pPr>
          </w:p>
        </w:tc>
        <w:tc>
          <w:tcPr>
            <w:tcW w:w="1772" w:type="dxa"/>
          </w:tcPr>
          <w:p w14:paraId="0AE9A6EE" w14:textId="77777777" w:rsidR="001720BE" w:rsidRPr="00EA0EA9" w:rsidRDefault="001720BE" w:rsidP="00111DA5">
            <w:pPr>
              <w:jc w:val="both"/>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EA0EA9">
              <w:rPr>
                <w:rFonts w:ascii="Cambria" w:hAnsi="Cambria"/>
                <w:b/>
                <w:bCs/>
                <w:i/>
                <w:iCs/>
                <w:sz w:val="20"/>
              </w:rPr>
              <w:t>Trusts</w:t>
            </w:r>
            <w:r w:rsidRPr="00EA0EA9">
              <w:rPr>
                <w:rFonts w:ascii="Cambria" w:hAnsi="Cambria"/>
                <w:sz w:val="20"/>
              </w:rPr>
              <w:t xml:space="preserve"> are flexible structures used for a variety of structures;</w:t>
            </w:r>
          </w:p>
          <w:p w14:paraId="40B5B9B9" w14:textId="77777777" w:rsidR="001720BE" w:rsidRPr="00EA0EA9" w:rsidRDefault="001720BE" w:rsidP="00111DA5">
            <w:pPr>
              <w:jc w:val="both"/>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EA0EA9">
              <w:rPr>
                <w:rFonts w:ascii="Cambria" w:hAnsi="Cambria"/>
                <w:sz w:val="20"/>
              </w:rPr>
              <w:t>TPCA permits trust instrument to designate the objective of beneficiaries;</w:t>
            </w:r>
          </w:p>
          <w:p w14:paraId="16A2D011" w14:textId="2EBAF94F" w:rsidR="001720BE" w:rsidRPr="00EA0EA9" w:rsidRDefault="001720BE" w:rsidP="00111DA5">
            <w:pPr>
              <w:jc w:val="both"/>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EA0EA9">
              <w:rPr>
                <w:rFonts w:ascii="Cambria" w:hAnsi="Cambria"/>
                <w:b/>
                <w:bCs/>
                <w:i/>
                <w:iCs/>
                <w:sz w:val="20"/>
              </w:rPr>
              <w:t>However</w:t>
            </w:r>
            <w:r w:rsidR="000044F5">
              <w:rPr>
                <w:rFonts w:ascii="Cambria" w:hAnsi="Cambria"/>
                <w:b/>
                <w:bCs/>
                <w:i/>
                <w:iCs/>
                <w:sz w:val="20"/>
              </w:rPr>
              <w:t>,</w:t>
            </w:r>
            <w:r w:rsidRPr="00EA0EA9">
              <w:rPr>
                <w:rFonts w:ascii="Cambria" w:hAnsi="Cambria"/>
                <w:b/>
                <w:bCs/>
                <w:i/>
                <w:iCs/>
                <w:sz w:val="20"/>
              </w:rPr>
              <w:t xml:space="preserve"> TPCA</w:t>
            </w:r>
            <w:r w:rsidRPr="00EA0EA9">
              <w:rPr>
                <w:rFonts w:ascii="Cambria" w:hAnsi="Cambria"/>
                <w:sz w:val="20"/>
              </w:rPr>
              <w:t xml:space="preserve"> does not enumerate limitations to objectives and beneficiaries; and </w:t>
            </w:r>
          </w:p>
          <w:p w14:paraId="7F14D831" w14:textId="77777777" w:rsidR="001720BE" w:rsidRPr="00EA0EA9" w:rsidRDefault="001720BE" w:rsidP="00111DA5">
            <w:pPr>
              <w:jc w:val="both"/>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EA0EA9">
              <w:rPr>
                <w:rFonts w:ascii="Cambria" w:hAnsi="Cambria"/>
                <w:b/>
                <w:bCs/>
                <w:i/>
                <w:iCs/>
                <w:sz w:val="20"/>
              </w:rPr>
              <w:lastRenderedPageBreak/>
              <w:t>A trust</w:t>
            </w:r>
            <w:r w:rsidRPr="00EA0EA9">
              <w:rPr>
                <w:rFonts w:ascii="Cambria" w:hAnsi="Cambria"/>
                <w:sz w:val="20"/>
              </w:rPr>
              <w:t xml:space="preserve"> cannot be invalidated if it has a charitable primary purpose and a non-charitable subsidiary purpose.</w:t>
            </w:r>
          </w:p>
        </w:tc>
        <w:tc>
          <w:tcPr>
            <w:tcW w:w="1772" w:type="dxa"/>
          </w:tcPr>
          <w:p w14:paraId="5DB6BC98" w14:textId="77777777" w:rsidR="001720BE" w:rsidRPr="00EA0EA9" w:rsidRDefault="001720BE" w:rsidP="00111DA5">
            <w:pPr>
              <w:jc w:val="both"/>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EA0EA9">
              <w:rPr>
                <w:rFonts w:ascii="Cambria" w:hAnsi="Cambria"/>
                <w:b/>
                <w:bCs/>
                <w:i/>
                <w:iCs/>
                <w:sz w:val="20"/>
              </w:rPr>
              <w:lastRenderedPageBreak/>
              <w:t>Constitutional provisions</w:t>
            </w:r>
            <w:r w:rsidRPr="00EA0EA9">
              <w:rPr>
                <w:rFonts w:ascii="Cambria" w:hAnsi="Cambria"/>
                <w:sz w:val="20"/>
              </w:rPr>
              <w:t xml:space="preserve"> are clear that the state or any person may not unfairly discriminate against another person on the basis of race (Constitution, 9, 3 and 4);  </w:t>
            </w:r>
          </w:p>
          <w:p w14:paraId="466E0988" w14:textId="77777777" w:rsidR="001720BE" w:rsidRPr="00EA0EA9" w:rsidRDefault="001720BE" w:rsidP="00111DA5">
            <w:pPr>
              <w:jc w:val="both"/>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EA0EA9">
              <w:rPr>
                <w:rFonts w:ascii="Cambria" w:hAnsi="Cambria"/>
                <w:b/>
                <w:bCs/>
                <w:i/>
                <w:iCs/>
                <w:sz w:val="20"/>
              </w:rPr>
              <w:t>Section 29</w:t>
            </w:r>
            <w:r w:rsidRPr="00EA0EA9">
              <w:rPr>
                <w:rFonts w:ascii="Cambria" w:hAnsi="Cambria"/>
                <w:sz w:val="20"/>
              </w:rPr>
              <w:t xml:space="preserve"> of the Constitution carries several provisions on the right to basic </w:t>
            </w:r>
            <w:r w:rsidRPr="00EA0EA9">
              <w:rPr>
                <w:rFonts w:ascii="Cambria" w:hAnsi="Cambria"/>
                <w:sz w:val="20"/>
              </w:rPr>
              <w:lastRenderedPageBreak/>
              <w:t xml:space="preserve">education, right to further education, right to receive public education in a language of one’s choice; and </w:t>
            </w:r>
          </w:p>
          <w:p w14:paraId="067078FB" w14:textId="77777777" w:rsidR="001720BE" w:rsidRPr="00EA0EA9" w:rsidRDefault="001720BE" w:rsidP="00111DA5">
            <w:pPr>
              <w:jc w:val="both"/>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EA0EA9">
              <w:rPr>
                <w:rFonts w:ascii="Cambria" w:hAnsi="Cambria"/>
                <w:b/>
                <w:bCs/>
                <w:i/>
                <w:iCs/>
                <w:sz w:val="20"/>
              </w:rPr>
              <w:t>Further provisions</w:t>
            </w:r>
            <w:r w:rsidRPr="00EA0EA9">
              <w:rPr>
                <w:rFonts w:ascii="Cambria" w:hAnsi="Cambria"/>
                <w:sz w:val="20"/>
              </w:rPr>
              <w:t xml:space="preserve"> are contained on the right to “establish and maintain independent educational institutions, as long as they do not discriminate on the basis of race (Constitution 29, 3). </w:t>
            </w:r>
          </w:p>
        </w:tc>
        <w:tc>
          <w:tcPr>
            <w:tcW w:w="1772" w:type="dxa"/>
          </w:tcPr>
          <w:p w14:paraId="23DDEF1B" w14:textId="77777777" w:rsidR="001720BE" w:rsidRPr="00EA0EA9" w:rsidRDefault="001720BE" w:rsidP="00111DA5">
            <w:pPr>
              <w:jc w:val="both"/>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EA0EA9">
              <w:rPr>
                <w:rFonts w:ascii="Cambria" w:hAnsi="Cambria"/>
                <w:b/>
                <w:bCs/>
                <w:i/>
                <w:iCs/>
                <w:sz w:val="20"/>
              </w:rPr>
              <w:lastRenderedPageBreak/>
              <w:t xml:space="preserve">Law </w:t>
            </w:r>
            <w:r w:rsidRPr="00EA0EA9">
              <w:rPr>
                <w:rFonts w:ascii="Cambria" w:hAnsi="Cambria"/>
                <w:sz w:val="20"/>
              </w:rPr>
              <w:t xml:space="preserve">does not restrict individuals and legal entities from serving as promoters or trustees of NPOs; </w:t>
            </w:r>
          </w:p>
          <w:p w14:paraId="142AA1F3" w14:textId="77777777" w:rsidR="001720BE" w:rsidRPr="00EA0EA9" w:rsidRDefault="001720BE" w:rsidP="00111DA5">
            <w:pPr>
              <w:jc w:val="both"/>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EA0EA9">
              <w:rPr>
                <w:rFonts w:ascii="Cambria" w:hAnsi="Cambria"/>
                <w:b/>
                <w:bCs/>
                <w:i/>
                <w:iCs/>
                <w:sz w:val="20"/>
              </w:rPr>
              <w:t xml:space="preserve">NPOs </w:t>
            </w:r>
            <w:r w:rsidRPr="00EA0EA9">
              <w:rPr>
                <w:rFonts w:ascii="Cambria" w:hAnsi="Cambria"/>
                <w:sz w:val="20"/>
              </w:rPr>
              <w:t xml:space="preserve">with foreign trustees, directors and governing board members have found it increasingly difficult to open bank accounts in South Africa </w:t>
            </w:r>
            <w:r w:rsidRPr="00EA0EA9">
              <w:rPr>
                <w:rFonts w:ascii="Cambria" w:hAnsi="Cambria"/>
                <w:sz w:val="20"/>
              </w:rPr>
              <w:lastRenderedPageBreak/>
              <w:t xml:space="preserve">owing to the requirements imposed by the Financial Intelligence Centre Act (FICA).  </w:t>
            </w:r>
          </w:p>
        </w:tc>
      </w:tr>
      <w:tr w:rsidR="001720BE" w:rsidRPr="00EA0EA9" w14:paraId="6584562F" w14:textId="77777777" w:rsidTr="00172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Borders>
              <w:left w:val="none" w:sz="0" w:space="0" w:color="auto"/>
              <w:bottom w:val="none" w:sz="0" w:space="0" w:color="auto"/>
              <w:right w:val="none" w:sz="0" w:space="0" w:color="auto"/>
            </w:tcBorders>
          </w:tcPr>
          <w:p w14:paraId="3234C057" w14:textId="77777777" w:rsidR="001720BE" w:rsidRPr="00EA0EA9" w:rsidRDefault="001720BE" w:rsidP="00111DA5">
            <w:pPr>
              <w:jc w:val="both"/>
              <w:rPr>
                <w:rFonts w:ascii="Cambria" w:hAnsi="Cambria"/>
                <w:sz w:val="20"/>
              </w:rPr>
            </w:pPr>
            <w:r w:rsidRPr="00EA0EA9">
              <w:rPr>
                <w:rFonts w:ascii="Cambria" w:hAnsi="Cambria"/>
                <w:b w:val="0"/>
                <w:bCs w:val="0"/>
                <w:sz w:val="20"/>
              </w:rPr>
              <w:lastRenderedPageBreak/>
              <w:t>Non-Profit Companies</w:t>
            </w:r>
          </w:p>
        </w:tc>
        <w:tc>
          <w:tcPr>
            <w:tcW w:w="1771" w:type="dxa"/>
          </w:tcPr>
          <w:p w14:paraId="2CC39968" w14:textId="77777777" w:rsidR="001720BE" w:rsidRPr="00EA0EA9" w:rsidRDefault="001720BE" w:rsidP="00111DA5">
            <w:pPr>
              <w:jc w:val="both"/>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EA0EA9">
              <w:rPr>
                <w:rFonts w:ascii="Cambria" w:hAnsi="Cambria"/>
                <w:b/>
                <w:bCs/>
                <w:i/>
                <w:iCs/>
                <w:sz w:val="20"/>
              </w:rPr>
              <w:t>Non-profit Company</w:t>
            </w:r>
            <w:r w:rsidRPr="00EA0EA9">
              <w:rPr>
                <w:rFonts w:ascii="Cambria" w:hAnsi="Cambria"/>
                <w:sz w:val="20"/>
              </w:rPr>
              <w:t xml:space="preserve"> prohibited from directly or indirectly paying any portion of income or transferring assets to any incorporator, director or member – regardless of how income was derived;</w:t>
            </w:r>
          </w:p>
          <w:p w14:paraId="66E0EF6A" w14:textId="77777777" w:rsidR="001720BE" w:rsidRPr="00EA0EA9" w:rsidRDefault="001720BE" w:rsidP="00111DA5">
            <w:pPr>
              <w:jc w:val="both"/>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EA0EA9">
              <w:rPr>
                <w:rFonts w:ascii="Cambria" w:hAnsi="Cambria"/>
                <w:b/>
                <w:bCs/>
                <w:i/>
                <w:iCs/>
                <w:sz w:val="20"/>
              </w:rPr>
              <w:t>Exceptions</w:t>
            </w:r>
            <w:r w:rsidRPr="00EA0EA9">
              <w:rPr>
                <w:rFonts w:ascii="Cambria" w:hAnsi="Cambria"/>
                <w:sz w:val="20"/>
              </w:rPr>
              <w:t xml:space="preserve"> include: </w:t>
            </w:r>
            <w:r w:rsidRPr="00EA0EA9">
              <w:rPr>
                <w:rFonts w:ascii="Cambria" w:hAnsi="Cambria"/>
                <w:sz w:val="20"/>
              </w:rPr>
              <w:lastRenderedPageBreak/>
              <w:t>reasonable remuneration for goods delivered or services rendered, reimbursement for expenses incurred to advance organisation’s objectives, payment payable in terms of bona fide agreement, payment in respect of any rights of that person to advance a stated objective of the company, and payment in respect of any legal obligation binding the company (CA, 3, Schedule 1)</w:t>
            </w:r>
          </w:p>
        </w:tc>
        <w:tc>
          <w:tcPr>
            <w:tcW w:w="1772" w:type="dxa"/>
          </w:tcPr>
          <w:p w14:paraId="5E4D9E08" w14:textId="77777777" w:rsidR="001720BE" w:rsidRPr="00EA0EA9" w:rsidRDefault="001720BE" w:rsidP="00111DA5">
            <w:pPr>
              <w:jc w:val="both"/>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EA0EA9">
              <w:rPr>
                <w:rFonts w:ascii="Cambria" w:hAnsi="Cambria"/>
                <w:b/>
                <w:bCs/>
                <w:i/>
                <w:iCs/>
                <w:sz w:val="20"/>
              </w:rPr>
              <w:lastRenderedPageBreak/>
              <w:t>All assets</w:t>
            </w:r>
            <w:r w:rsidRPr="00EA0EA9">
              <w:rPr>
                <w:rFonts w:ascii="Cambria" w:hAnsi="Cambria"/>
                <w:sz w:val="20"/>
              </w:rPr>
              <w:t xml:space="preserve"> and income must be applied to advance objectives set out in </w:t>
            </w:r>
            <w:r w:rsidRPr="00EA0EA9">
              <w:rPr>
                <w:rFonts w:ascii="Cambria" w:hAnsi="Cambria"/>
                <w:b/>
                <w:bCs/>
                <w:i/>
                <w:iCs/>
                <w:sz w:val="20"/>
              </w:rPr>
              <w:t>Memorandum of Incorporation</w:t>
            </w:r>
            <w:r w:rsidRPr="00EA0EA9">
              <w:rPr>
                <w:rFonts w:ascii="Cambria" w:hAnsi="Cambria"/>
                <w:sz w:val="20"/>
              </w:rPr>
              <w:t xml:space="preserve"> (CA Schedule 1, 2);</w:t>
            </w:r>
          </w:p>
          <w:p w14:paraId="62B481A7" w14:textId="3D84358C" w:rsidR="001720BE" w:rsidRPr="00EA0EA9" w:rsidRDefault="001720BE" w:rsidP="00111DA5">
            <w:pPr>
              <w:jc w:val="both"/>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EA0EA9">
              <w:rPr>
                <w:rFonts w:ascii="Cambria" w:hAnsi="Cambria"/>
                <w:b/>
                <w:bCs/>
                <w:i/>
                <w:iCs/>
                <w:sz w:val="20"/>
              </w:rPr>
              <w:t xml:space="preserve">Upon </w:t>
            </w:r>
            <w:r w:rsidR="00A55F32" w:rsidRPr="00EA0EA9">
              <w:rPr>
                <w:rFonts w:ascii="Cambria" w:hAnsi="Cambria"/>
                <w:b/>
                <w:bCs/>
                <w:i/>
                <w:iCs/>
                <w:sz w:val="20"/>
              </w:rPr>
              <w:t>dissolution,</w:t>
            </w:r>
            <w:r w:rsidRPr="00EA0EA9">
              <w:rPr>
                <w:rFonts w:ascii="Cambria" w:hAnsi="Cambria"/>
                <w:sz w:val="20"/>
              </w:rPr>
              <w:t xml:space="preserve"> total net value of the company must be distributed;</w:t>
            </w:r>
          </w:p>
          <w:p w14:paraId="41DEE153" w14:textId="77777777" w:rsidR="001720BE" w:rsidRPr="00EA0EA9" w:rsidRDefault="001720BE" w:rsidP="00111DA5">
            <w:pPr>
              <w:jc w:val="both"/>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EA0EA9">
              <w:rPr>
                <w:rFonts w:ascii="Cambria" w:hAnsi="Cambria"/>
                <w:b/>
                <w:bCs/>
                <w:i/>
                <w:iCs/>
                <w:sz w:val="20"/>
              </w:rPr>
              <w:t>Director</w:t>
            </w:r>
            <w:r w:rsidRPr="00EA0EA9">
              <w:rPr>
                <w:rFonts w:ascii="Cambria" w:hAnsi="Cambria"/>
                <w:sz w:val="20"/>
              </w:rPr>
              <w:t xml:space="preserve">, and past or present members cannot </w:t>
            </w:r>
            <w:r w:rsidRPr="00EA0EA9">
              <w:rPr>
                <w:rFonts w:ascii="Cambria" w:hAnsi="Cambria"/>
                <w:sz w:val="20"/>
              </w:rPr>
              <w:lastRenderedPageBreak/>
              <w:t xml:space="preserve">benefit from any part of the net value of the company after obligations and liabilities have been satisfied (CA Schedule 1, 4).  </w:t>
            </w:r>
          </w:p>
        </w:tc>
        <w:tc>
          <w:tcPr>
            <w:tcW w:w="1772" w:type="dxa"/>
          </w:tcPr>
          <w:p w14:paraId="1E76F815" w14:textId="192DFACE" w:rsidR="001720BE" w:rsidRPr="00EA0EA9" w:rsidRDefault="001720BE" w:rsidP="00111DA5">
            <w:pPr>
              <w:jc w:val="both"/>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EA0EA9">
              <w:rPr>
                <w:rFonts w:ascii="Cambria" w:hAnsi="Cambria"/>
                <w:b/>
                <w:bCs/>
                <w:i/>
                <w:iCs/>
                <w:sz w:val="20"/>
              </w:rPr>
              <w:lastRenderedPageBreak/>
              <w:t xml:space="preserve">Upon </w:t>
            </w:r>
            <w:r w:rsidR="00955915" w:rsidRPr="00EA0EA9">
              <w:rPr>
                <w:rFonts w:ascii="Cambria" w:hAnsi="Cambria"/>
                <w:b/>
                <w:bCs/>
                <w:i/>
                <w:iCs/>
                <w:sz w:val="20"/>
              </w:rPr>
              <w:t>dissolution,</w:t>
            </w:r>
            <w:r w:rsidRPr="00EA0EA9">
              <w:rPr>
                <w:rFonts w:ascii="Cambria" w:hAnsi="Cambria"/>
                <w:sz w:val="20"/>
              </w:rPr>
              <w:t xml:space="preserve"> must distribute the entire net value of the company to one or more non-profit companies, external non-profit companies carrying on activities in South Africa, non-profit trusts or voluntary associations;</w:t>
            </w:r>
          </w:p>
          <w:p w14:paraId="551809AE" w14:textId="77777777" w:rsidR="001720BE" w:rsidRPr="00EA0EA9" w:rsidRDefault="001720BE" w:rsidP="00111DA5">
            <w:pPr>
              <w:jc w:val="both"/>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EA0EA9">
              <w:rPr>
                <w:rFonts w:ascii="Cambria" w:hAnsi="Cambria"/>
                <w:b/>
                <w:bCs/>
                <w:i/>
                <w:iCs/>
                <w:sz w:val="20"/>
              </w:rPr>
              <w:t>These entities</w:t>
            </w:r>
            <w:r w:rsidRPr="00EA0EA9">
              <w:rPr>
                <w:rFonts w:ascii="Cambria" w:hAnsi="Cambria"/>
                <w:sz w:val="20"/>
              </w:rPr>
              <w:t xml:space="preserve"> must have similar </w:t>
            </w:r>
            <w:r w:rsidRPr="00EA0EA9">
              <w:rPr>
                <w:rFonts w:ascii="Cambria" w:hAnsi="Cambria"/>
                <w:sz w:val="20"/>
              </w:rPr>
              <w:lastRenderedPageBreak/>
              <w:t>objectives as the dissolved entity; and</w:t>
            </w:r>
          </w:p>
          <w:p w14:paraId="16384010" w14:textId="77777777" w:rsidR="001720BE" w:rsidRPr="00EA0EA9" w:rsidRDefault="001720BE" w:rsidP="00111DA5">
            <w:pPr>
              <w:jc w:val="both"/>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EA0EA9">
              <w:rPr>
                <w:rFonts w:ascii="Cambria" w:hAnsi="Cambria"/>
                <w:b/>
                <w:bCs/>
                <w:i/>
                <w:iCs/>
                <w:sz w:val="20"/>
              </w:rPr>
              <w:t>Directors</w:t>
            </w:r>
            <w:r w:rsidRPr="00EA0EA9">
              <w:rPr>
                <w:rFonts w:ascii="Cambria" w:hAnsi="Cambria"/>
                <w:sz w:val="20"/>
              </w:rPr>
              <w:t xml:space="preserve">, past or present members cannot benefit from any part of net value of the company after all obligations and liabilities have been satisfied (CA, Schedule 1, 4).  </w:t>
            </w:r>
          </w:p>
        </w:tc>
        <w:tc>
          <w:tcPr>
            <w:tcW w:w="1772" w:type="dxa"/>
          </w:tcPr>
          <w:p w14:paraId="06FE7637" w14:textId="77777777" w:rsidR="001720BE" w:rsidRPr="00EA0EA9" w:rsidRDefault="001720BE" w:rsidP="00111DA5">
            <w:pPr>
              <w:jc w:val="both"/>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EA0EA9">
              <w:rPr>
                <w:rFonts w:ascii="Cambria" w:hAnsi="Cambria"/>
                <w:b/>
                <w:bCs/>
                <w:i/>
                <w:iCs/>
                <w:sz w:val="20"/>
              </w:rPr>
              <w:lastRenderedPageBreak/>
              <w:t>Permitted</w:t>
            </w:r>
            <w:r w:rsidRPr="00EA0EA9">
              <w:rPr>
                <w:rFonts w:ascii="Cambria" w:hAnsi="Cambria"/>
                <w:sz w:val="20"/>
              </w:rPr>
              <w:t xml:space="preserve"> to undertake activities that promote public benefit, related to cultural or social activities or to communal or group interests (CA, Schedule 1, 1); and </w:t>
            </w:r>
          </w:p>
        </w:tc>
        <w:tc>
          <w:tcPr>
            <w:tcW w:w="1772" w:type="dxa"/>
          </w:tcPr>
          <w:p w14:paraId="6B09CBA2" w14:textId="77777777" w:rsidR="001720BE" w:rsidRPr="00EA0EA9" w:rsidRDefault="001720BE" w:rsidP="00111DA5">
            <w:pPr>
              <w:jc w:val="both"/>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EA0EA9">
              <w:rPr>
                <w:rFonts w:ascii="Cambria" w:hAnsi="Cambria"/>
                <w:b/>
                <w:bCs/>
                <w:i/>
                <w:iCs/>
                <w:sz w:val="20"/>
              </w:rPr>
              <w:t>Permitted</w:t>
            </w:r>
            <w:r w:rsidRPr="00EA0EA9">
              <w:rPr>
                <w:rFonts w:ascii="Cambria" w:hAnsi="Cambria"/>
                <w:sz w:val="20"/>
              </w:rPr>
              <w:t xml:space="preserve"> to undertake business, trade, or other initiatives consistent with it stated objectives (CA, </w:t>
            </w:r>
            <w:r w:rsidR="00F73AF2" w:rsidRPr="00EA0EA9">
              <w:rPr>
                <w:rFonts w:ascii="Cambria" w:hAnsi="Cambria"/>
                <w:sz w:val="20"/>
              </w:rPr>
              <w:t>Schedule</w:t>
            </w:r>
            <w:r w:rsidRPr="00EA0EA9">
              <w:rPr>
                <w:rFonts w:ascii="Cambria" w:hAnsi="Cambria"/>
                <w:sz w:val="20"/>
              </w:rPr>
              <w:t>, 1).</w:t>
            </w:r>
          </w:p>
        </w:tc>
        <w:tc>
          <w:tcPr>
            <w:tcW w:w="1772" w:type="dxa"/>
          </w:tcPr>
          <w:p w14:paraId="71D5F3C5" w14:textId="77777777" w:rsidR="001720BE" w:rsidRPr="00EA0EA9" w:rsidRDefault="001720BE" w:rsidP="00111DA5">
            <w:pPr>
              <w:jc w:val="both"/>
              <w:cnfStyle w:val="000000100000" w:firstRow="0" w:lastRow="0" w:firstColumn="0" w:lastColumn="0" w:oddVBand="0" w:evenVBand="0" w:oddHBand="1" w:evenHBand="0" w:firstRowFirstColumn="0" w:firstRowLastColumn="0" w:lastRowFirstColumn="0" w:lastRowLastColumn="0"/>
              <w:rPr>
                <w:rFonts w:ascii="Cambria" w:hAnsi="Cambria"/>
                <w:sz w:val="20"/>
              </w:rPr>
            </w:pPr>
          </w:p>
        </w:tc>
        <w:tc>
          <w:tcPr>
            <w:tcW w:w="1772" w:type="dxa"/>
          </w:tcPr>
          <w:p w14:paraId="37F5B864" w14:textId="77777777" w:rsidR="001720BE" w:rsidRPr="00EA0EA9" w:rsidRDefault="001720BE" w:rsidP="00111DA5">
            <w:pPr>
              <w:jc w:val="both"/>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EA0EA9">
              <w:rPr>
                <w:rFonts w:ascii="Cambria" w:hAnsi="Cambria"/>
                <w:b/>
                <w:bCs/>
                <w:i/>
                <w:iCs/>
                <w:sz w:val="20"/>
              </w:rPr>
              <w:t>Foreign nationals</w:t>
            </w:r>
            <w:r w:rsidRPr="00EA0EA9">
              <w:rPr>
                <w:rFonts w:ascii="Cambria" w:hAnsi="Cambria"/>
                <w:sz w:val="20"/>
              </w:rPr>
              <w:t xml:space="preserve"> can serve as directors of local companies;</w:t>
            </w:r>
          </w:p>
          <w:p w14:paraId="68AF967D" w14:textId="77777777" w:rsidR="001720BE" w:rsidRPr="00EA0EA9" w:rsidRDefault="001720BE" w:rsidP="00111DA5">
            <w:pPr>
              <w:jc w:val="both"/>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EA0EA9">
              <w:rPr>
                <w:rFonts w:ascii="Cambria" w:hAnsi="Cambria"/>
                <w:sz w:val="20"/>
              </w:rPr>
              <w:t>Legal persons can however not serve as directors of non-profit companies; and</w:t>
            </w:r>
          </w:p>
          <w:p w14:paraId="332D2229" w14:textId="77777777" w:rsidR="001720BE" w:rsidRPr="00EA0EA9" w:rsidRDefault="001720BE" w:rsidP="00111DA5">
            <w:pPr>
              <w:jc w:val="both"/>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EA0EA9">
              <w:rPr>
                <w:rFonts w:ascii="Cambria" w:hAnsi="Cambria"/>
                <w:b/>
                <w:bCs/>
                <w:i/>
                <w:iCs/>
                <w:sz w:val="20"/>
              </w:rPr>
              <w:t>This limitation</w:t>
            </w:r>
            <w:r w:rsidRPr="00EA0EA9">
              <w:rPr>
                <w:rFonts w:ascii="Cambria" w:hAnsi="Cambria"/>
                <w:sz w:val="20"/>
              </w:rPr>
              <w:t xml:space="preserve"> makes it possible for a South African NPO to be controlled by a non-South </w:t>
            </w:r>
            <w:r w:rsidRPr="00EA0EA9">
              <w:rPr>
                <w:rFonts w:ascii="Cambria" w:hAnsi="Cambria"/>
                <w:sz w:val="20"/>
              </w:rPr>
              <w:lastRenderedPageBreak/>
              <w:t xml:space="preserve">African grantor charity. </w:t>
            </w:r>
          </w:p>
        </w:tc>
      </w:tr>
      <w:tr w:rsidR="001720BE" w:rsidRPr="00EA0EA9" w14:paraId="38B28C85" w14:textId="77777777" w:rsidTr="001720BE">
        <w:tc>
          <w:tcPr>
            <w:cnfStyle w:val="001000000000" w:firstRow="0" w:lastRow="0" w:firstColumn="1" w:lastColumn="0" w:oddVBand="0" w:evenVBand="0" w:oddHBand="0" w:evenHBand="0" w:firstRowFirstColumn="0" w:firstRowLastColumn="0" w:lastRowFirstColumn="0" w:lastRowLastColumn="0"/>
            <w:tcW w:w="1771" w:type="dxa"/>
            <w:tcBorders>
              <w:left w:val="none" w:sz="0" w:space="0" w:color="auto"/>
              <w:bottom w:val="none" w:sz="0" w:space="0" w:color="auto"/>
              <w:right w:val="none" w:sz="0" w:space="0" w:color="auto"/>
            </w:tcBorders>
          </w:tcPr>
          <w:p w14:paraId="20EB3A5E" w14:textId="77777777" w:rsidR="001720BE" w:rsidRPr="00EA0EA9" w:rsidRDefault="001720BE" w:rsidP="00111DA5">
            <w:pPr>
              <w:jc w:val="both"/>
              <w:rPr>
                <w:rFonts w:ascii="Cambria" w:hAnsi="Cambria"/>
                <w:sz w:val="20"/>
              </w:rPr>
            </w:pPr>
            <w:r w:rsidRPr="00EA0EA9">
              <w:rPr>
                <w:rFonts w:ascii="Cambria" w:hAnsi="Cambria"/>
                <w:b w:val="0"/>
                <w:bCs w:val="0"/>
                <w:sz w:val="20"/>
              </w:rPr>
              <w:lastRenderedPageBreak/>
              <w:t xml:space="preserve">Registered Non-Profit Organisation </w:t>
            </w:r>
          </w:p>
        </w:tc>
        <w:tc>
          <w:tcPr>
            <w:tcW w:w="1771" w:type="dxa"/>
          </w:tcPr>
          <w:p w14:paraId="7B2AF433" w14:textId="77777777" w:rsidR="001720BE" w:rsidRPr="00EA0EA9" w:rsidRDefault="001720BE" w:rsidP="00111DA5">
            <w:pPr>
              <w:jc w:val="both"/>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EA0EA9">
              <w:rPr>
                <w:rFonts w:ascii="Cambria" w:hAnsi="Cambria"/>
                <w:b/>
                <w:bCs/>
                <w:i/>
                <w:iCs/>
                <w:sz w:val="20"/>
              </w:rPr>
              <w:t>Eligibility</w:t>
            </w:r>
            <w:r w:rsidRPr="00EA0EA9">
              <w:rPr>
                <w:rFonts w:ascii="Cambria" w:hAnsi="Cambria"/>
                <w:sz w:val="20"/>
              </w:rPr>
              <w:t xml:space="preserve"> to register under NPO Act, NPO must state that income and property are not distributable to members, officers and trustees within founding documents; and </w:t>
            </w:r>
          </w:p>
          <w:p w14:paraId="39E73061" w14:textId="77777777" w:rsidR="001720BE" w:rsidRPr="00EA0EA9" w:rsidRDefault="001720BE" w:rsidP="00111DA5">
            <w:pPr>
              <w:jc w:val="both"/>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EA0EA9">
              <w:rPr>
                <w:rFonts w:ascii="Cambria" w:hAnsi="Cambria"/>
                <w:sz w:val="20"/>
              </w:rPr>
              <w:lastRenderedPageBreak/>
              <w:t xml:space="preserve">Exceptions apply as compensation for services rendered (NPO Act, 12, 2). </w:t>
            </w:r>
          </w:p>
        </w:tc>
        <w:tc>
          <w:tcPr>
            <w:tcW w:w="1772" w:type="dxa"/>
          </w:tcPr>
          <w:p w14:paraId="7537C9C9" w14:textId="77777777" w:rsidR="001720BE" w:rsidRPr="00EA0EA9" w:rsidRDefault="001720BE" w:rsidP="00111DA5">
            <w:pPr>
              <w:jc w:val="both"/>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EA0EA9">
              <w:rPr>
                <w:rFonts w:ascii="Cambria" w:hAnsi="Cambria"/>
                <w:b/>
                <w:bCs/>
                <w:i/>
                <w:iCs/>
                <w:sz w:val="20"/>
              </w:rPr>
              <w:lastRenderedPageBreak/>
              <w:t>Founding document</w:t>
            </w:r>
            <w:r w:rsidRPr="00EA0EA9">
              <w:rPr>
                <w:rFonts w:ascii="Cambria" w:hAnsi="Cambria"/>
                <w:sz w:val="20"/>
              </w:rPr>
              <w:t xml:space="preserve"> of registered NPO clearly states must carry provisions to the effect that members, officers and trustees have no rights to the assets of the </w:t>
            </w:r>
            <w:r w:rsidRPr="00EA0EA9">
              <w:rPr>
                <w:rFonts w:ascii="Cambria" w:hAnsi="Cambria"/>
                <w:sz w:val="20"/>
              </w:rPr>
              <w:lastRenderedPageBreak/>
              <w:t xml:space="preserve">organisation merely by being members, trustees or officers (NPO, 12, 2). </w:t>
            </w:r>
          </w:p>
        </w:tc>
        <w:tc>
          <w:tcPr>
            <w:tcW w:w="1772" w:type="dxa"/>
          </w:tcPr>
          <w:p w14:paraId="784507F9" w14:textId="77777777" w:rsidR="001720BE" w:rsidRPr="00EA0EA9" w:rsidRDefault="001720BE" w:rsidP="00111DA5">
            <w:pPr>
              <w:jc w:val="both"/>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EA0EA9">
              <w:rPr>
                <w:rFonts w:ascii="Cambria" w:hAnsi="Cambria"/>
                <w:b/>
                <w:bCs/>
                <w:i/>
                <w:iCs/>
                <w:sz w:val="20"/>
              </w:rPr>
              <w:lastRenderedPageBreak/>
              <w:t>Dissolution modalities</w:t>
            </w:r>
            <w:r w:rsidRPr="00EA0EA9">
              <w:rPr>
                <w:rFonts w:ascii="Cambria" w:hAnsi="Cambria"/>
                <w:sz w:val="20"/>
              </w:rPr>
              <w:t xml:space="preserve"> must be clearly outlined in founding documents of the organisation;</w:t>
            </w:r>
          </w:p>
          <w:p w14:paraId="0B4FC14A" w14:textId="77777777" w:rsidR="001720BE" w:rsidRPr="00EA0EA9" w:rsidRDefault="001720BE" w:rsidP="00111DA5">
            <w:pPr>
              <w:jc w:val="both"/>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EA0EA9">
              <w:rPr>
                <w:rFonts w:ascii="Cambria" w:hAnsi="Cambria"/>
                <w:b/>
                <w:bCs/>
                <w:i/>
                <w:iCs/>
                <w:sz w:val="20"/>
              </w:rPr>
              <w:t>This is a requirement</w:t>
            </w:r>
            <w:r w:rsidRPr="00EA0EA9">
              <w:rPr>
                <w:rFonts w:ascii="Cambria" w:hAnsi="Cambria"/>
                <w:sz w:val="20"/>
              </w:rPr>
              <w:t xml:space="preserve"> for registration under the NPO </w:t>
            </w:r>
            <w:r w:rsidRPr="00EA0EA9">
              <w:rPr>
                <w:rFonts w:ascii="Cambria" w:hAnsi="Cambria"/>
                <w:sz w:val="20"/>
              </w:rPr>
              <w:lastRenderedPageBreak/>
              <w:t xml:space="preserve">Act and must be clear that assets remaining upon dissolution or winding up will be transferred to another NPO with similar objectives (NPO Act, 12, 2); and </w:t>
            </w:r>
          </w:p>
          <w:p w14:paraId="0DB6E1AB" w14:textId="457F6B3D" w:rsidR="001720BE" w:rsidRPr="00EA0EA9" w:rsidRDefault="001720BE" w:rsidP="00111DA5">
            <w:pPr>
              <w:jc w:val="both"/>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EA0EA9">
              <w:rPr>
                <w:rFonts w:ascii="Cambria" w:hAnsi="Cambria"/>
                <w:b/>
                <w:bCs/>
                <w:i/>
                <w:iCs/>
                <w:sz w:val="20"/>
              </w:rPr>
              <w:t>Failure to transfer</w:t>
            </w:r>
            <w:r w:rsidRPr="00EA0EA9">
              <w:rPr>
                <w:rFonts w:ascii="Cambria" w:hAnsi="Cambria"/>
                <w:sz w:val="20"/>
              </w:rPr>
              <w:t xml:space="preserve"> assets may result in fine, imprisonment or </w:t>
            </w:r>
            <w:r w:rsidR="00AD26FD" w:rsidRPr="00EA0EA9">
              <w:rPr>
                <w:rFonts w:ascii="Cambria" w:hAnsi="Cambria"/>
                <w:sz w:val="20"/>
              </w:rPr>
              <w:t>both</w:t>
            </w:r>
            <w:r w:rsidRPr="00EA0EA9">
              <w:rPr>
                <w:rFonts w:ascii="Cambria" w:hAnsi="Cambria"/>
                <w:sz w:val="20"/>
              </w:rPr>
              <w:t xml:space="preserve"> responsible persons. </w:t>
            </w:r>
          </w:p>
        </w:tc>
        <w:tc>
          <w:tcPr>
            <w:tcW w:w="1772" w:type="dxa"/>
          </w:tcPr>
          <w:p w14:paraId="3BFC0FEC" w14:textId="77777777" w:rsidR="001720BE" w:rsidRPr="00EA0EA9" w:rsidRDefault="001720BE" w:rsidP="00111DA5">
            <w:pPr>
              <w:jc w:val="both"/>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EA0EA9">
              <w:rPr>
                <w:rFonts w:ascii="Cambria" w:hAnsi="Cambria"/>
                <w:b/>
                <w:bCs/>
                <w:i/>
                <w:iCs/>
                <w:sz w:val="20"/>
              </w:rPr>
              <w:lastRenderedPageBreak/>
              <w:t>NPO Act</w:t>
            </w:r>
            <w:r w:rsidRPr="00EA0EA9">
              <w:rPr>
                <w:rFonts w:ascii="Cambria" w:hAnsi="Cambria"/>
                <w:sz w:val="20"/>
              </w:rPr>
              <w:t xml:space="preserve"> does not speak to allowable activities;</w:t>
            </w:r>
          </w:p>
          <w:p w14:paraId="4FFBB06B" w14:textId="77777777" w:rsidR="001720BE" w:rsidRPr="00EA0EA9" w:rsidRDefault="001720BE" w:rsidP="00111DA5">
            <w:pPr>
              <w:jc w:val="both"/>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EA0EA9">
              <w:rPr>
                <w:rFonts w:ascii="Cambria" w:hAnsi="Cambria"/>
                <w:b/>
                <w:bCs/>
                <w:i/>
                <w:iCs/>
                <w:sz w:val="20"/>
              </w:rPr>
              <w:t>Such activities</w:t>
            </w:r>
            <w:r w:rsidRPr="00EA0EA9">
              <w:rPr>
                <w:rFonts w:ascii="Cambria" w:hAnsi="Cambria"/>
                <w:sz w:val="20"/>
              </w:rPr>
              <w:t xml:space="preserve"> are determined by laws that govern non-profit companies or trusts, as NPOs </w:t>
            </w:r>
            <w:r w:rsidRPr="00EA0EA9">
              <w:rPr>
                <w:rFonts w:ascii="Cambria" w:hAnsi="Cambria"/>
                <w:sz w:val="20"/>
              </w:rPr>
              <w:lastRenderedPageBreak/>
              <w:t>are usually one of the two;</w:t>
            </w:r>
          </w:p>
          <w:p w14:paraId="05ABD0FE" w14:textId="6E52DB10" w:rsidR="001720BE" w:rsidRPr="00EA0EA9" w:rsidRDefault="001720BE" w:rsidP="00111DA5">
            <w:pPr>
              <w:jc w:val="both"/>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EA0EA9">
              <w:rPr>
                <w:rFonts w:ascii="Cambria" w:hAnsi="Cambria"/>
                <w:b/>
                <w:bCs/>
                <w:i/>
                <w:iCs/>
                <w:sz w:val="20"/>
              </w:rPr>
              <w:t>In addition</w:t>
            </w:r>
            <w:r w:rsidR="00955915">
              <w:rPr>
                <w:rFonts w:ascii="Cambria" w:hAnsi="Cambria"/>
                <w:b/>
                <w:bCs/>
                <w:i/>
                <w:iCs/>
                <w:sz w:val="20"/>
              </w:rPr>
              <w:t>,</w:t>
            </w:r>
            <w:r w:rsidRPr="00EA0EA9">
              <w:rPr>
                <w:rFonts w:ascii="Cambria" w:hAnsi="Cambria"/>
                <w:b/>
                <w:bCs/>
                <w:i/>
                <w:iCs/>
                <w:sz w:val="20"/>
              </w:rPr>
              <w:t xml:space="preserve"> tax laws</w:t>
            </w:r>
            <w:r w:rsidRPr="00EA0EA9">
              <w:rPr>
                <w:rFonts w:ascii="Cambria" w:hAnsi="Cambria"/>
                <w:sz w:val="20"/>
              </w:rPr>
              <w:t xml:space="preserve"> provide guidelines on allowable activities; and;</w:t>
            </w:r>
          </w:p>
          <w:p w14:paraId="2B7D44C4" w14:textId="77777777" w:rsidR="001720BE" w:rsidRPr="00EA0EA9" w:rsidRDefault="001720BE" w:rsidP="00111DA5">
            <w:pPr>
              <w:jc w:val="both"/>
              <w:cnfStyle w:val="000000000000" w:firstRow="0" w:lastRow="0" w:firstColumn="0" w:lastColumn="0" w:oddVBand="0" w:evenVBand="0" w:oddHBand="0" w:evenHBand="0" w:firstRowFirstColumn="0" w:firstRowLastColumn="0" w:lastRowFirstColumn="0" w:lastRowLastColumn="0"/>
              <w:rPr>
                <w:rFonts w:ascii="Cambria" w:hAnsi="Cambria"/>
                <w:sz w:val="20"/>
              </w:rPr>
            </w:pPr>
            <w:r w:rsidRPr="00EA0EA9">
              <w:rPr>
                <w:rFonts w:ascii="Cambria" w:hAnsi="Cambria"/>
                <w:b/>
                <w:bCs/>
                <w:i/>
                <w:iCs/>
                <w:sz w:val="20"/>
              </w:rPr>
              <w:t>Founding documents</w:t>
            </w:r>
            <w:r w:rsidRPr="00EA0EA9">
              <w:rPr>
                <w:rFonts w:ascii="Cambria" w:hAnsi="Cambria"/>
                <w:sz w:val="20"/>
              </w:rPr>
              <w:t xml:space="preserve"> will specify activities. </w:t>
            </w:r>
          </w:p>
        </w:tc>
        <w:tc>
          <w:tcPr>
            <w:tcW w:w="1772" w:type="dxa"/>
          </w:tcPr>
          <w:p w14:paraId="7FC3D849" w14:textId="77777777" w:rsidR="001720BE" w:rsidRPr="00EA0EA9" w:rsidRDefault="001720BE" w:rsidP="00111DA5">
            <w:pPr>
              <w:jc w:val="both"/>
              <w:cnfStyle w:val="000000000000" w:firstRow="0" w:lastRow="0" w:firstColumn="0" w:lastColumn="0" w:oddVBand="0" w:evenVBand="0" w:oddHBand="0" w:evenHBand="0" w:firstRowFirstColumn="0" w:firstRowLastColumn="0" w:lastRowFirstColumn="0" w:lastRowLastColumn="0"/>
              <w:rPr>
                <w:rFonts w:ascii="Cambria" w:hAnsi="Cambria"/>
                <w:sz w:val="20"/>
              </w:rPr>
            </w:pPr>
          </w:p>
        </w:tc>
        <w:tc>
          <w:tcPr>
            <w:tcW w:w="1772" w:type="dxa"/>
          </w:tcPr>
          <w:p w14:paraId="174D547E" w14:textId="77777777" w:rsidR="001720BE" w:rsidRPr="00EA0EA9" w:rsidRDefault="001720BE" w:rsidP="00111DA5">
            <w:pPr>
              <w:jc w:val="both"/>
              <w:cnfStyle w:val="000000000000" w:firstRow="0" w:lastRow="0" w:firstColumn="0" w:lastColumn="0" w:oddVBand="0" w:evenVBand="0" w:oddHBand="0" w:evenHBand="0" w:firstRowFirstColumn="0" w:firstRowLastColumn="0" w:lastRowFirstColumn="0" w:lastRowLastColumn="0"/>
              <w:rPr>
                <w:rFonts w:ascii="Cambria" w:hAnsi="Cambria"/>
                <w:sz w:val="20"/>
              </w:rPr>
            </w:pPr>
          </w:p>
        </w:tc>
        <w:tc>
          <w:tcPr>
            <w:tcW w:w="1772" w:type="dxa"/>
          </w:tcPr>
          <w:p w14:paraId="0CAF35E0" w14:textId="77777777" w:rsidR="001720BE" w:rsidRPr="00EA0EA9" w:rsidRDefault="001720BE" w:rsidP="00111DA5">
            <w:pPr>
              <w:jc w:val="both"/>
              <w:cnfStyle w:val="000000000000" w:firstRow="0" w:lastRow="0" w:firstColumn="0" w:lastColumn="0" w:oddVBand="0" w:evenVBand="0" w:oddHBand="0" w:evenHBand="0" w:firstRowFirstColumn="0" w:firstRowLastColumn="0" w:lastRowFirstColumn="0" w:lastRowLastColumn="0"/>
              <w:rPr>
                <w:rFonts w:ascii="Cambria" w:hAnsi="Cambria"/>
                <w:sz w:val="20"/>
              </w:rPr>
            </w:pPr>
          </w:p>
        </w:tc>
      </w:tr>
      <w:tr w:rsidR="001720BE" w:rsidRPr="00EA0EA9" w14:paraId="7F59D540" w14:textId="77777777" w:rsidTr="001720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1" w:type="dxa"/>
            <w:tcBorders>
              <w:left w:val="none" w:sz="0" w:space="0" w:color="auto"/>
              <w:bottom w:val="none" w:sz="0" w:space="0" w:color="auto"/>
              <w:right w:val="none" w:sz="0" w:space="0" w:color="auto"/>
            </w:tcBorders>
          </w:tcPr>
          <w:p w14:paraId="34C5A25C" w14:textId="77777777" w:rsidR="001720BE" w:rsidRPr="00EA0EA9" w:rsidRDefault="001720BE" w:rsidP="00111DA5">
            <w:pPr>
              <w:jc w:val="both"/>
              <w:rPr>
                <w:rFonts w:ascii="Cambria" w:hAnsi="Cambria"/>
                <w:sz w:val="20"/>
              </w:rPr>
            </w:pPr>
            <w:r w:rsidRPr="00EA0EA9">
              <w:rPr>
                <w:rFonts w:ascii="Cambria" w:hAnsi="Cambria"/>
                <w:b w:val="0"/>
                <w:bCs w:val="0"/>
                <w:sz w:val="20"/>
              </w:rPr>
              <w:t>Approved Public Benefit Organisation</w:t>
            </w:r>
          </w:p>
        </w:tc>
        <w:tc>
          <w:tcPr>
            <w:tcW w:w="1771" w:type="dxa"/>
          </w:tcPr>
          <w:p w14:paraId="1CF2674F" w14:textId="77777777" w:rsidR="001720BE" w:rsidRPr="00EA0EA9" w:rsidRDefault="001720BE" w:rsidP="00111DA5">
            <w:pPr>
              <w:jc w:val="both"/>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EA0EA9">
              <w:rPr>
                <w:rFonts w:ascii="Cambria" w:hAnsi="Cambria"/>
                <w:b/>
                <w:bCs/>
                <w:i/>
                <w:iCs/>
                <w:sz w:val="20"/>
              </w:rPr>
              <w:t>Eligibility</w:t>
            </w:r>
            <w:r w:rsidRPr="00EA0EA9">
              <w:rPr>
                <w:rFonts w:ascii="Cambria" w:hAnsi="Cambria"/>
                <w:sz w:val="20"/>
              </w:rPr>
              <w:t xml:space="preserve"> for PBO status, an organisation cannot conduct any activity intended directly or indirectly to promote economic self-interest of any fiduciary or employee of the organisation;</w:t>
            </w:r>
          </w:p>
          <w:p w14:paraId="1A720AE8" w14:textId="77777777" w:rsidR="001720BE" w:rsidRPr="00EA0EA9" w:rsidRDefault="001720BE" w:rsidP="00111DA5">
            <w:pPr>
              <w:jc w:val="both"/>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EA0EA9">
              <w:rPr>
                <w:rFonts w:ascii="Cambria" w:hAnsi="Cambria"/>
                <w:b/>
                <w:bCs/>
                <w:i/>
                <w:iCs/>
                <w:sz w:val="20"/>
              </w:rPr>
              <w:t>Reasonable remuneration</w:t>
            </w:r>
            <w:r w:rsidRPr="00EA0EA9">
              <w:rPr>
                <w:rFonts w:ascii="Cambria" w:hAnsi="Cambria"/>
                <w:sz w:val="20"/>
              </w:rPr>
              <w:t xml:space="preserve"> is permitted;</w:t>
            </w:r>
          </w:p>
          <w:p w14:paraId="24192B84" w14:textId="77777777" w:rsidR="001720BE" w:rsidRPr="00EA0EA9" w:rsidRDefault="001720BE" w:rsidP="00111DA5">
            <w:pPr>
              <w:jc w:val="both"/>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EA0EA9">
              <w:rPr>
                <w:rFonts w:ascii="Cambria" w:hAnsi="Cambria"/>
                <w:b/>
                <w:bCs/>
                <w:sz w:val="20"/>
              </w:rPr>
              <w:t>Organisation</w:t>
            </w:r>
            <w:r w:rsidRPr="00EA0EA9">
              <w:rPr>
                <w:rFonts w:ascii="Cambria" w:hAnsi="Cambria"/>
                <w:sz w:val="20"/>
              </w:rPr>
              <w:t xml:space="preserve"> cannot distribute its funds to any person other than what is related to </w:t>
            </w:r>
            <w:r w:rsidRPr="00EA0EA9">
              <w:rPr>
                <w:rFonts w:ascii="Cambria" w:hAnsi="Cambria"/>
                <w:sz w:val="20"/>
              </w:rPr>
              <w:lastRenderedPageBreak/>
              <w:t xml:space="preserve">public benefit activities; and </w:t>
            </w:r>
          </w:p>
          <w:p w14:paraId="74A73A7F" w14:textId="77777777" w:rsidR="001720BE" w:rsidRPr="00EA0EA9" w:rsidRDefault="001720BE" w:rsidP="00111DA5">
            <w:pPr>
              <w:jc w:val="both"/>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EA0EA9">
              <w:rPr>
                <w:rFonts w:ascii="Cambria" w:hAnsi="Cambria"/>
                <w:b/>
                <w:bCs/>
                <w:i/>
                <w:iCs/>
                <w:sz w:val="20"/>
              </w:rPr>
              <w:t>Funds</w:t>
            </w:r>
            <w:r w:rsidRPr="00EA0EA9">
              <w:rPr>
                <w:rFonts w:ascii="Cambria" w:hAnsi="Cambria"/>
                <w:sz w:val="20"/>
              </w:rPr>
              <w:t xml:space="preserve"> must be used solely to fulfil objectives of establishment (ITA, 30, 3 (b)(ii)). </w:t>
            </w:r>
          </w:p>
        </w:tc>
        <w:tc>
          <w:tcPr>
            <w:tcW w:w="1772" w:type="dxa"/>
          </w:tcPr>
          <w:p w14:paraId="4E7C0848" w14:textId="77777777" w:rsidR="001720BE" w:rsidRPr="00EA0EA9" w:rsidRDefault="001720BE" w:rsidP="00111DA5">
            <w:pPr>
              <w:jc w:val="both"/>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EA0EA9">
              <w:rPr>
                <w:rFonts w:ascii="Cambria" w:hAnsi="Cambria"/>
                <w:b/>
                <w:bCs/>
                <w:i/>
                <w:iCs/>
                <w:sz w:val="20"/>
              </w:rPr>
              <w:lastRenderedPageBreak/>
              <w:t>Organisation</w:t>
            </w:r>
            <w:r w:rsidRPr="00EA0EA9">
              <w:rPr>
                <w:rFonts w:ascii="Cambria" w:hAnsi="Cambria"/>
                <w:sz w:val="20"/>
              </w:rPr>
              <w:t xml:space="preserve"> prohibited from accepting any donation that is revocable at donor’s request; and </w:t>
            </w:r>
          </w:p>
          <w:p w14:paraId="07568C99" w14:textId="77777777" w:rsidR="001720BE" w:rsidRPr="00EA0EA9" w:rsidRDefault="001720BE" w:rsidP="00111DA5">
            <w:pPr>
              <w:jc w:val="both"/>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EA0EA9">
              <w:rPr>
                <w:rFonts w:ascii="Cambria" w:hAnsi="Cambria"/>
                <w:b/>
                <w:bCs/>
                <w:i/>
                <w:iCs/>
                <w:sz w:val="20"/>
              </w:rPr>
              <w:t>Donor</w:t>
            </w:r>
            <w:r w:rsidRPr="00EA0EA9">
              <w:rPr>
                <w:rFonts w:ascii="Cambria" w:hAnsi="Cambria"/>
                <w:sz w:val="20"/>
              </w:rPr>
              <w:t xml:space="preserve"> may not impose conditions that enable donor or any person associated with donor to benefit directly or indirectly from receipt of such donation (ITA 30, 3 (b)(v)). </w:t>
            </w:r>
          </w:p>
        </w:tc>
        <w:tc>
          <w:tcPr>
            <w:tcW w:w="1772" w:type="dxa"/>
          </w:tcPr>
          <w:p w14:paraId="1E5C8647" w14:textId="77777777" w:rsidR="001720BE" w:rsidRPr="00EA0EA9" w:rsidRDefault="001720BE" w:rsidP="00111DA5">
            <w:pPr>
              <w:jc w:val="both"/>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EA0EA9">
              <w:rPr>
                <w:rFonts w:ascii="Cambria" w:hAnsi="Cambria"/>
                <w:b/>
                <w:bCs/>
                <w:i/>
                <w:iCs/>
                <w:sz w:val="20"/>
              </w:rPr>
              <w:t>Dissolution modalities</w:t>
            </w:r>
            <w:r w:rsidRPr="00EA0EA9">
              <w:rPr>
                <w:rFonts w:ascii="Cambria" w:hAnsi="Cambria"/>
                <w:sz w:val="20"/>
              </w:rPr>
              <w:t xml:space="preserve"> and processes must be clearly delineated in founding documents;</w:t>
            </w:r>
          </w:p>
          <w:p w14:paraId="5E980A36" w14:textId="77777777" w:rsidR="001720BE" w:rsidRPr="00EA0EA9" w:rsidRDefault="001720BE" w:rsidP="00111DA5">
            <w:pPr>
              <w:jc w:val="both"/>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EA0EA9">
              <w:rPr>
                <w:rFonts w:ascii="Cambria" w:hAnsi="Cambria"/>
                <w:sz w:val="20"/>
              </w:rPr>
              <w:t>More so, this is a requirement for approval of PBO status from the Commissioner under Section 30 of the Income Tax Act;</w:t>
            </w:r>
          </w:p>
          <w:p w14:paraId="09CCB135" w14:textId="77777777" w:rsidR="001720BE" w:rsidRPr="00EA0EA9" w:rsidRDefault="001720BE" w:rsidP="00111DA5">
            <w:pPr>
              <w:jc w:val="both"/>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EA0EA9">
              <w:rPr>
                <w:rFonts w:ascii="Cambria" w:hAnsi="Cambria"/>
                <w:b/>
                <w:bCs/>
                <w:i/>
                <w:iCs/>
                <w:sz w:val="20"/>
              </w:rPr>
              <w:t>Any assets remaining</w:t>
            </w:r>
            <w:r w:rsidRPr="00EA0EA9">
              <w:rPr>
                <w:rFonts w:ascii="Cambria" w:hAnsi="Cambria"/>
                <w:sz w:val="20"/>
              </w:rPr>
              <w:t xml:space="preserve"> upon dissolution or winding up must be transferred to a similar PBO (approved under </w:t>
            </w:r>
            <w:r w:rsidRPr="00EA0EA9">
              <w:rPr>
                <w:rFonts w:ascii="Cambria" w:hAnsi="Cambria"/>
                <w:sz w:val="20"/>
              </w:rPr>
              <w:lastRenderedPageBreak/>
              <w:t>Section 30), an institution, board or body exempt from tax under ITA Section 10, 1 (c)(</w:t>
            </w:r>
            <w:proofErr w:type="spellStart"/>
            <w:r w:rsidRPr="00EA0EA9">
              <w:rPr>
                <w:rFonts w:ascii="Cambria" w:hAnsi="Cambria"/>
                <w:sz w:val="20"/>
              </w:rPr>
              <w:t>i</w:t>
            </w:r>
            <w:proofErr w:type="spellEnd"/>
            <w:r w:rsidRPr="00EA0EA9">
              <w:rPr>
                <w:rFonts w:ascii="Cambria" w:hAnsi="Cambria"/>
                <w:sz w:val="20"/>
              </w:rPr>
              <w:t xml:space="preserve">) and with a similar objective – public benefit activity or a department of state (ITA, 30, 3 (b)(iii)); and </w:t>
            </w:r>
          </w:p>
          <w:p w14:paraId="0CB6EDD6" w14:textId="77777777" w:rsidR="001720BE" w:rsidRPr="00EA0EA9" w:rsidRDefault="001720BE" w:rsidP="00111DA5">
            <w:pPr>
              <w:jc w:val="both"/>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EA0EA9">
              <w:rPr>
                <w:rFonts w:ascii="Cambria" w:hAnsi="Cambria"/>
                <w:b/>
                <w:bCs/>
                <w:i/>
                <w:iCs/>
                <w:sz w:val="20"/>
              </w:rPr>
              <w:t>Should these provisions</w:t>
            </w:r>
            <w:r w:rsidRPr="00EA0EA9">
              <w:rPr>
                <w:rFonts w:ascii="Cambria" w:hAnsi="Cambria"/>
                <w:sz w:val="20"/>
              </w:rPr>
              <w:t xml:space="preserve"> not exist within the founding documents, three representatives of the organisation are required to sign a written undertaking confirming the organisation will comply with relevant provisions of the ITA. </w:t>
            </w:r>
          </w:p>
        </w:tc>
        <w:tc>
          <w:tcPr>
            <w:tcW w:w="1772" w:type="dxa"/>
          </w:tcPr>
          <w:p w14:paraId="60CEEB54" w14:textId="77777777" w:rsidR="001720BE" w:rsidRPr="00EA0EA9" w:rsidRDefault="001720BE" w:rsidP="00111DA5">
            <w:pPr>
              <w:jc w:val="both"/>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EA0EA9">
              <w:rPr>
                <w:rFonts w:ascii="Cambria" w:hAnsi="Cambria"/>
                <w:b/>
                <w:bCs/>
                <w:i/>
                <w:iCs/>
                <w:sz w:val="20"/>
              </w:rPr>
              <w:lastRenderedPageBreak/>
              <w:t>Over 60 activities</w:t>
            </w:r>
            <w:r w:rsidRPr="00EA0EA9">
              <w:rPr>
                <w:rFonts w:ascii="Cambria" w:hAnsi="Cambria"/>
                <w:sz w:val="20"/>
              </w:rPr>
              <w:t xml:space="preserve"> are defined in the ITA with regard PBOs;</w:t>
            </w:r>
          </w:p>
          <w:p w14:paraId="7D26E561" w14:textId="77777777" w:rsidR="001720BE" w:rsidRPr="00EA0EA9" w:rsidRDefault="001720BE" w:rsidP="00111DA5">
            <w:pPr>
              <w:jc w:val="both"/>
              <w:cnfStyle w:val="000000100000" w:firstRow="0" w:lastRow="0" w:firstColumn="0" w:lastColumn="0" w:oddVBand="0" w:evenVBand="0" w:oddHBand="1" w:evenHBand="0" w:firstRowFirstColumn="0" w:firstRowLastColumn="0" w:lastRowFirstColumn="0" w:lastRowLastColumn="0"/>
              <w:rPr>
                <w:rFonts w:ascii="Cambria" w:hAnsi="Cambria"/>
                <w:sz w:val="20"/>
              </w:rPr>
            </w:pPr>
          </w:p>
        </w:tc>
        <w:tc>
          <w:tcPr>
            <w:tcW w:w="1772" w:type="dxa"/>
          </w:tcPr>
          <w:p w14:paraId="583AC1B5" w14:textId="77777777" w:rsidR="001720BE" w:rsidRPr="00EA0EA9" w:rsidRDefault="001720BE" w:rsidP="00111DA5">
            <w:pPr>
              <w:jc w:val="both"/>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EA0EA9">
              <w:rPr>
                <w:rFonts w:ascii="Cambria" w:hAnsi="Cambria"/>
                <w:b/>
                <w:bCs/>
                <w:i/>
                <w:iCs/>
                <w:sz w:val="20"/>
              </w:rPr>
              <w:t>Law is explicit</w:t>
            </w:r>
            <w:r w:rsidRPr="00EA0EA9">
              <w:rPr>
                <w:rFonts w:ascii="Cambria" w:hAnsi="Cambria"/>
                <w:sz w:val="20"/>
              </w:rPr>
              <w:t xml:space="preserve"> on the extent to which economic activities of approved PBOs are tax exempt;</w:t>
            </w:r>
          </w:p>
          <w:p w14:paraId="6126262D" w14:textId="77777777" w:rsidR="001720BE" w:rsidRPr="00EA0EA9" w:rsidRDefault="001720BE" w:rsidP="00111DA5">
            <w:pPr>
              <w:jc w:val="both"/>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EA0EA9">
              <w:rPr>
                <w:rFonts w:ascii="Cambria" w:hAnsi="Cambria"/>
                <w:b/>
                <w:bCs/>
                <w:i/>
                <w:iCs/>
                <w:sz w:val="20"/>
              </w:rPr>
              <w:t>Tax exemption</w:t>
            </w:r>
            <w:r w:rsidRPr="00EA0EA9">
              <w:rPr>
                <w:rFonts w:ascii="Cambria" w:hAnsi="Cambria"/>
                <w:sz w:val="20"/>
              </w:rPr>
              <w:t xml:space="preserve"> is applicable if activities follow these requirements:</w:t>
            </w:r>
          </w:p>
          <w:p w14:paraId="0F937BFE" w14:textId="77777777" w:rsidR="001720BE" w:rsidRPr="00EA0EA9" w:rsidRDefault="001720BE" w:rsidP="00111DA5">
            <w:pPr>
              <w:jc w:val="both"/>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EA0EA9">
              <w:rPr>
                <w:rFonts w:ascii="Cambria" w:hAnsi="Cambria"/>
                <w:b/>
                <w:bCs/>
                <w:i/>
                <w:iCs/>
                <w:sz w:val="20"/>
              </w:rPr>
              <w:t xml:space="preserve">Activities </w:t>
            </w:r>
            <w:r w:rsidRPr="00EA0EA9">
              <w:rPr>
                <w:rFonts w:ascii="Cambria" w:hAnsi="Cambria"/>
                <w:sz w:val="20"/>
              </w:rPr>
              <w:t>are “integral and directly related to the sole objective of the PBO;</w:t>
            </w:r>
          </w:p>
          <w:p w14:paraId="28088B7A" w14:textId="77777777" w:rsidR="001720BE" w:rsidRPr="00EA0EA9" w:rsidRDefault="001720BE" w:rsidP="00111DA5">
            <w:pPr>
              <w:jc w:val="both"/>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EA0EA9">
              <w:rPr>
                <w:rFonts w:ascii="Cambria" w:hAnsi="Cambria"/>
                <w:b/>
                <w:bCs/>
                <w:i/>
                <w:iCs/>
                <w:sz w:val="20"/>
              </w:rPr>
              <w:t>Substantially</w:t>
            </w:r>
            <w:r w:rsidRPr="00EA0EA9">
              <w:rPr>
                <w:rFonts w:ascii="Cambria" w:hAnsi="Cambria"/>
                <w:sz w:val="20"/>
              </w:rPr>
              <w:t xml:space="preserve"> the whole of its revenues </w:t>
            </w:r>
            <w:proofErr w:type="gramStart"/>
            <w:r w:rsidRPr="00EA0EA9">
              <w:rPr>
                <w:rFonts w:ascii="Cambria" w:hAnsi="Cambria"/>
                <w:sz w:val="20"/>
              </w:rPr>
              <w:t>are</w:t>
            </w:r>
            <w:proofErr w:type="gramEnd"/>
            <w:r w:rsidRPr="00EA0EA9">
              <w:rPr>
                <w:rFonts w:ascii="Cambria" w:hAnsi="Cambria"/>
                <w:sz w:val="20"/>
              </w:rPr>
              <w:t xml:space="preserve"> directed toward recovery of its costs; and </w:t>
            </w:r>
          </w:p>
          <w:p w14:paraId="6ADB96BE" w14:textId="77777777" w:rsidR="001720BE" w:rsidRPr="00EA0EA9" w:rsidRDefault="001720BE" w:rsidP="00111DA5">
            <w:pPr>
              <w:jc w:val="both"/>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EA0EA9">
              <w:rPr>
                <w:rFonts w:ascii="Cambria" w:hAnsi="Cambria"/>
                <w:b/>
                <w:bCs/>
                <w:i/>
                <w:iCs/>
                <w:sz w:val="20"/>
              </w:rPr>
              <w:lastRenderedPageBreak/>
              <w:t>It does not result in unfair competition</w:t>
            </w:r>
            <w:r w:rsidRPr="00EA0EA9">
              <w:rPr>
                <w:rFonts w:ascii="Cambria" w:hAnsi="Cambria"/>
                <w:sz w:val="20"/>
              </w:rPr>
              <w:t xml:space="preserve"> in relation to taxable entities”:</w:t>
            </w:r>
          </w:p>
          <w:p w14:paraId="0532E58C" w14:textId="77777777" w:rsidR="001720BE" w:rsidRPr="00EA0EA9" w:rsidRDefault="001720BE" w:rsidP="00111DA5">
            <w:pPr>
              <w:jc w:val="both"/>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EA0EA9">
              <w:rPr>
                <w:rFonts w:ascii="Cambria" w:hAnsi="Cambria"/>
                <w:b/>
                <w:bCs/>
                <w:i/>
                <w:iCs/>
                <w:sz w:val="20"/>
              </w:rPr>
              <w:t>Tax exemption</w:t>
            </w:r>
            <w:r w:rsidRPr="00EA0EA9">
              <w:rPr>
                <w:rFonts w:ascii="Cambria" w:hAnsi="Cambria"/>
                <w:sz w:val="20"/>
              </w:rPr>
              <w:t xml:space="preserve"> is further applicable if activities are of an occasional nature and substantially performed by uncompensated volunteers;</w:t>
            </w:r>
          </w:p>
          <w:p w14:paraId="0C9CDC57" w14:textId="77777777" w:rsidR="001720BE" w:rsidRPr="00EA0EA9" w:rsidRDefault="001720BE" w:rsidP="00111DA5">
            <w:pPr>
              <w:jc w:val="both"/>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EA0EA9">
              <w:rPr>
                <w:rFonts w:ascii="Cambria" w:hAnsi="Cambria"/>
                <w:b/>
                <w:bCs/>
                <w:i/>
                <w:iCs/>
                <w:sz w:val="20"/>
              </w:rPr>
              <w:t>Activities</w:t>
            </w:r>
            <w:r w:rsidRPr="00EA0EA9">
              <w:rPr>
                <w:rFonts w:ascii="Cambria" w:hAnsi="Cambria"/>
                <w:sz w:val="20"/>
              </w:rPr>
              <w:t xml:space="preserve"> are approved by the Minister of Finance by a Government gazetted notice that considers: the scope and generous nature of the activity; direct connection between the activity and the sole purpose of the PBO; profitability of the activity; and the economic distortion possible if a tax-exempt organisation undertook the activity; </w:t>
            </w:r>
          </w:p>
          <w:p w14:paraId="78BDBD15" w14:textId="77777777" w:rsidR="001720BE" w:rsidRPr="00EA0EA9" w:rsidRDefault="001720BE" w:rsidP="00111DA5">
            <w:pPr>
              <w:jc w:val="both"/>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EA0EA9">
              <w:rPr>
                <w:rFonts w:ascii="Cambria" w:hAnsi="Cambria"/>
                <w:b/>
                <w:bCs/>
                <w:i/>
                <w:iCs/>
                <w:sz w:val="20"/>
              </w:rPr>
              <w:lastRenderedPageBreak/>
              <w:t>Revenues</w:t>
            </w:r>
            <w:r w:rsidRPr="00EA0EA9">
              <w:rPr>
                <w:rFonts w:ascii="Cambria" w:hAnsi="Cambria"/>
                <w:sz w:val="20"/>
              </w:rPr>
              <w:t xml:space="preserve"> created by activity do not exceed 5% of the PBO total receipts and accruals during relevant year of assessment and 200,000 ZAR (ITA, 10, 1 (c)(n)); and</w:t>
            </w:r>
          </w:p>
          <w:p w14:paraId="220BD9C6" w14:textId="77777777" w:rsidR="001720BE" w:rsidRPr="00EA0EA9" w:rsidRDefault="001720BE" w:rsidP="00111DA5">
            <w:pPr>
              <w:jc w:val="both"/>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EA0EA9">
              <w:rPr>
                <w:rFonts w:ascii="Cambria" w:hAnsi="Cambria"/>
                <w:b/>
                <w:bCs/>
                <w:i/>
                <w:iCs/>
                <w:sz w:val="20"/>
              </w:rPr>
              <w:t>Investment</w:t>
            </w:r>
            <w:r w:rsidRPr="00EA0EA9">
              <w:rPr>
                <w:rFonts w:ascii="Cambria" w:hAnsi="Cambria"/>
                <w:sz w:val="20"/>
              </w:rPr>
              <w:t xml:space="preserve"> of PBO funds is permissible and restricted only by provisions of common law. </w:t>
            </w:r>
          </w:p>
        </w:tc>
        <w:tc>
          <w:tcPr>
            <w:tcW w:w="1772" w:type="dxa"/>
          </w:tcPr>
          <w:p w14:paraId="3BAE403F" w14:textId="77777777" w:rsidR="001720BE" w:rsidRPr="00EA0EA9" w:rsidRDefault="001720BE" w:rsidP="00111DA5">
            <w:pPr>
              <w:jc w:val="both"/>
              <w:cnfStyle w:val="000000100000" w:firstRow="0" w:lastRow="0" w:firstColumn="0" w:lastColumn="0" w:oddVBand="0" w:evenVBand="0" w:oddHBand="1" w:evenHBand="0" w:firstRowFirstColumn="0" w:firstRowLastColumn="0" w:lastRowFirstColumn="0" w:lastRowLastColumn="0"/>
              <w:rPr>
                <w:rFonts w:ascii="Cambria" w:hAnsi="Cambria"/>
                <w:sz w:val="20"/>
              </w:rPr>
            </w:pPr>
            <w:r w:rsidRPr="00EA0EA9">
              <w:rPr>
                <w:rFonts w:ascii="Cambria" w:hAnsi="Cambria"/>
                <w:b/>
                <w:bCs/>
                <w:i/>
                <w:iCs/>
                <w:sz w:val="20"/>
              </w:rPr>
              <w:lastRenderedPageBreak/>
              <w:t>PBOs restricted</w:t>
            </w:r>
            <w:r w:rsidRPr="00EA0EA9">
              <w:rPr>
                <w:rFonts w:ascii="Cambria" w:hAnsi="Cambria"/>
                <w:sz w:val="20"/>
              </w:rPr>
              <w:t xml:space="preserve"> from directly or indirectly using resources to support, advance or oppose any political party (ITA, 30, 3 (h)). </w:t>
            </w:r>
          </w:p>
        </w:tc>
        <w:tc>
          <w:tcPr>
            <w:tcW w:w="1772" w:type="dxa"/>
          </w:tcPr>
          <w:p w14:paraId="26E37705" w14:textId="77777777" w:rsidR="001720BE" w:rsidRPr="00EA0EA9" w:rsidRDefault="001720BE" w:rsidP="00111DA5">
            <w:pPr>
              <w:jc w:val="both"/>
              <w:cnfStyle w:val="000000100000" w:firstRow="0" w:lastRow="0" w:firstColumn="0" w:lastColumn="0" w:oddVBand="0" w:evenVBand="0" w:oddHBand="1" w:evenHBand="0" w:firstRowFirstColumn="0" w:firstRowLastColumn="0" w:lastRowFirstColumn="0" w:lastRowLastColumn="0"/>
              <w:rPr>
                <w:rFonts w:ascii="Cambria" w:hAnsi="Cambria"/>
                <w:sz w:val="20"/>
              </w:rPr>
            </w:pPr>
          </w:p>
        </w:tc>
      </w:tr>
    </w:tbl>
    <w:p w14:paraId="345701AB" w14:textId="77777777" w:rsidR="001720BE" w:rsidRPr="00EA0EA9" w:rsidRDefault="001720BE" w:rsidP="001720BE">
      <w:pPr>
        <w:rPr>
          <w:rFonts w:ascii="Cambria" w:hAnsi="Cambria"/>
          <w:i/>
          <w:iCs/>
          <w:sz w:val="22"/>
        </w:rPr>
        <w:sectPr w:rsidR="001720BE" w:rsidRPr="00EA0EA9" w:rsidSect="0097305B">
          <w:pgSz w:w="16840" w:h="11900" w:orient="landscape" w:code="9"/>
          <w:pgMar w:top="1440" w:right="1440" w:bottom="1440" w:left="1440" w:header="709" w:footer="709" w:gutter="0"/>
          <w:cols w:space="720"/>
        </w:sectPr>
      </w:pPr>
      <w:r w:rsidRPr="00EA0EA9">
        <w:rPr>
          <w:rFonts w:ascii="Cambria" w:hAnsi="Cambria"/>
          <w:sz w:val="20"/>
        </w:rPr>
        <w:lastRenderedPageBreak/>
        <w:t>Source: South Africa NPO Regulations, 2014</w:t>
      </w:r>
    </w:p>
    <w:p w14:paraId="08E7DC0F" w14:textId="77777777" w:rsidR="00382E47" w:rsidRPr="00EA0EA9" w:rsidRDefault="00382E47" w:rsidP="00382E47">
      <w:pPr>
        <w:jc w:val="both"/>
        <w:rPr>
          <w:i/>
          <w:iCs/>
          <w:sz w:val="22"/>
        </w:rPr>
      </w:pPr>
    </w:p>
    <w:p w14:paraId="77CE1296" w14:textId="77777777" w:rsidR="00C401AC" w:rsidRPr="006372B8" w:rsidRDefault="00C401AC" w:rsidP="00AA4AD1">
      <w:pPr>
        <w:pStyle w:val="Heading1"/>
        <w:numPr>
          <w:ilvl w:val="0"/>
          <w:numId w:val="75"/>
        </w:numPr>
        <w:rPr>
          <w:color w:val="0000FF"/>
          <w:sz w:val="32"/>
          <w:lang w:eastAsia="en-GB"/>
        </w:rPr>
      </w:pPr>
      <w:bookmarkStart w:id="42" w:name="_Toc476983596"/>
      <w:r w:rsidRPr="006372B8">
        <w:rPr>
          <w:color w:val="0000FF"/>
          <w:sz w:val="32"/>
          <w:lang w:eastAsia="en-GB"/>
        </w:rPr>
        <w:t>References</w:t>
      </w:r>
      <w:bookmarkEnd w:id="42"/>
    </w:p>
    <w:p w14:paraId="37ABEC32" w14:textId="76AD542B" w:rsidR="00201ABF" w:rsidRDefault="00201ABF" w:rsidP="00216FAF">
      <w:pPr>
        <w:jc w:val="both"/>
        <w:rPr>
          <w:rFonts w:asciiTheme="majorHAnsi" w:hAnsiTheme="majorHAnsi"/>
        </w:rPr>
      </w:pPr>
    </w:p>
    <w:p w14:paraId="70350C5E" w14:textId="6F4B8586" w:rsidR="00532B0B" w:rsidRPr="00532B0B" w:rsidRDefault="00532B0B" w:rsidP="00532E49">
      <w:pPr>
        <w:tabs>
          <w:tab w:val="left" w:pos="965"/>
        </w:tabs>
        <w:spacing w:line="276" w:lineRule="auto"/>
        <w:jc w:val="both"/>
        <w:rPr>
          <w:rFonts w:asciiTheme="majorHAnsi" w:hAnsiTheme="majorHAnsi"/>
        </w:rPr>
      </w:pPr>
      <w:r>
        <w:rPr>
          <w:rFonts w:asciiTheme="majorHAnsi" w:hAnsiTheme="majorHAnsi"/>
        </w:rPr>
        <w:t xml:space="preserve">Child </w:t>
      </w:r>
      <w:proofErr w:type="gramStart"/>
      <w:r>
        <w:rPr>
          <w:rFonts w:asciiTheme="majorHAnsi" w:hAnsiTheme="majorHAnsi"/>
        </w:rPr>
        <w:t>Institute ,</w:t>
      </w:r>
      <w:proofErr w:type="gramEnd"/>
      <w:r>
        <w:rPr>
          <w:rFonts w:asciiTheme="majorHAnsi" w:hAnsiTheme="majorHAnsi"/>
        </w:rPr>
        <w:t xml:space="preserve"> 2012,2014, 2015, and 2016  South Africa </w:t>
      </w:r>
      <w:r>
        <w:rPr>
          <w:rFonts w:asciiTheme="majorHAnsi" w:hAnsiTheme="majorHAnsi"/>
          <w:i/>
        </w:rPr>
        <w:t xml:space="preserve">Child Gauge </w:t>
      </w:r>
      <w:r>
        <w:rPr>
          <w:rFonts w:asciiTheme="majorHAnsi" w:hAnsiTheme="majorHAnsi"/>
        </w:rPr>
        <w:t xml:space="preserve">Reports , </w:t>
      </w:r>
      <w:hyperlink r:id="rId20" w:history="1">
        <w:r w:rsidRPr="00AA2C4E">
          <w:rPr>
            <w:rStyle w:val="Hyperlink"/>
            <w:rFonts w:asciiTheme="majorHAnsi" w:hAnsiTheme="majorHAnsi"/>
          </w:rPr>
          <w:t>www.ci.org.za</w:t>
        </w:r>
      </w:hyperlink>
      <w:r>
        <w:rPr>
          <w:rFonts w:asciiTheme="majorHAnsi" w:hAnsiTheme="majorHAnsi"/>
        </w:rPr>
        <w:t xml:space="preserve"> </w:t>
      </w:r>
    </w:p>
    <w:p w14:paraId="3E28641D" w14:textId="77777777" w:rsidR="00532B0B" w:rsidRDefault="00532B0B" w:rsidP="00532E49">
      <w:pPr>
        <w:tabs>
          <w:tab w:val="left" w:pos="965"/>
        </w:tabs>
        <w:spacing w:line="276" w:lineRule="auto"/>
        <w:jc w:val="both"/>
        <w:rPr>
          <w:rFonts w:asciiTheme="majorHAnsi" w:hAnsiTheme="majorHAnsi"/>
        </w:rPr>
      </w:pPr>
    </w:p>
    <w:p w14:paraId="447E7FFE" w14:textId="390B77FD" w:rsidR="00532E49" w:rsidRDefault="00532E49" w:rsidP="00532E49">
      <w:pPr>
        <w:tabs>
          <w:tab w:val="left" w:pos="965"/>
        </w:tabs>
        <w:spacing w:line="276" w:lineRule="auto"/>
        <w:jc w:val="both"/>
        <w:rPr>
          <w:rFonts w:asciiTheme="majorHAnsi" w:hAnsiTheme="majorHAnsi"/>
        </w:rPr>
      </w:pPr>
      <w:proofErr w:type="spellStart"/>
      <w:r w:rsidRPr="00532E49">
        <w:rPr>
          <w:rFonts w:asciiTheme="majorHAnsi" w:hAnsiTheme="majorHAnsi"/>
        </w:rPr>
        <w:t>Chibwana</w:t>
      </w:r>
      <w:proofErr w:type="spellEnd"/>
      <w:r w:rsidRPr="00532E49">
        <w:rPr>
          <w:rFonts w:asciiTheme="majorHAnsi" w:hAnsiTheme="majorHAnsi"/>
        </w:rPr>
        <w:t xml:space="preserve">, Musa 2015. “The State pf Children’s Rights in Southern Africa,” Available at: </w:t>
      </w:r>
      <w:hyperlink r:id="rId21" w:history="1">
        <w:r w:rsidRPr="00532E49">
          <w:rPr>
            <w:rStyle w:val="Hyperlink"/>
            <w:rFonts w:asciiTheme="majorHAnsi" w:hAnsiTheme="majorHAnsi"/>
          </w:rPr>
          <w:t>http://www.crnsa.co.za/the-state-of-childrens-rights-in-southern-africa/</w:t>
        </w:r>
      </w:hyperlink>
      <w:r w:rsidRPr="00532E49">
        <w:rPr>
          <w:rFonts w:asciiTheme="majorHAnsi" w:hAnsiTheme="majorHAnsi"/>
        </w:rPr>
        <w:t xml:space="preserve"> </w:t>
      </w:r>
    </w:p>
    <w:p w14:paraId="0806FF0D" w14:textId="77777777" w:rsidR="001F5F45" w:rsidRPr="00532E49" w:rsidRDefault="001F5F45" w:rsidP="00532E49">
      <w:pPr>
        <w:tabs>
          <w:tab w:val="left" w:pos="965"/>
        </w:tabs>
        <w:spacing w:line="276" w:lineRule="auto"/>
        <w:jc w:val="both"/>
        <w:rPr>
          <w:rFonts w:asciiTheme="majorHAnsi" w:hAnsiTheme="majorHAnsi"/>
        </w:rPr>
      </w:pPr>
    </w:p>
    <w:p w14:paraId="44010D7D" w14:textId="4B3B6843" w:rsidR="00532E49" w:rsidRDefault="00532E49" w:rsidP="00532E49">
      <w:pPr>
        <w:tabs>
          <w:tab w:val="left" w:pos="965"/>
        </w:tabs>
        <w:spacing w:line="276" w:lineRule="auto"/>
        <w:jc w:val="both"/>
        <w:rPr>
          <w:rFonts w:asciiTheme="majorHAnsi" w:hAnsiTheme="majorHAnsi"/>
        </w:rPr>
      </w:pPr>
      <w:r w:rsidRPr="00532E49">
        <w:rPr>
          <w:rFonts w:asciiTheme="majorHAnsi" w:hAnsiTheme="majorHAnsi"/>
        </w:rPr>
        <w:t xml:space="preserve">Constitutional Court of South Africa (2017). </w:t>
      </w:r>
      <w:r w:rsidR="0055784B">
        <w:rPr>
          <w:rFonts w:asciiTheme="majorHAnsi" w:hAnsiTheme="majorHAnsi"/>
        </w:rPr>
        <w:t>“</w:t>
      </w:r>
      <w:r w:rsidRPr="00532E49">
        <w:rPr>
          <w:rFonts w:asciiTheme="majorHAnsi" w:hAnsiTheme="majorHAnsi"/>
        </w:rPr>
        <w:t>Children's rights.</w:t>
      </w:r>
      <w:r w:rsidR="0055784B">
        <w:rPr>
          <w:rFonts w:asciiTheme="majorHAnsi" w:hAnsiTheme="majorHAnsi"/>
        </w:rPr>
        <w:t>”</w:t>
      </w:r>
      <w:r w:rsidRPr="00532E49">
        <w:rPr>
          <w:rFonts w:asciiTheme="majorHAnsi" w:hAnsiTheme="majorHAnsi"/>
        </w:rPr>
        <w:t xml:space="preserve">  Available at: </w:t>
      </w:r>
      <w:hyperlink r:id="rId22" w:history="1">
        <w:r w:rsidRPr="00532E49">
          <w:rPr>
            <w:rStyle w:val="Hyperlink"/>
            <w:rFonts w:asciiTheme="majorHAnsi" w:hAnsiTheme="majorHAnsi"/>
          </w:rPr>
          <w:t>http://www.constitutionalcourt.org.za/text/rights/know/children.html</w:t>
        </w:r>
      </w:hyperlink>
      <w:r w:rsidRPr="00532E49">
        <w:rPr>
          <w:rFonts w:asciiTheme="majorHAnsi" w:hAnsiTheme="majorHAnsi"/>
        </w:rPr>
        <w:t xml:space="preserve"> </w:t>
      </w:r>
    </w:p>
    <w:p w14:paraId="1278EB4A" w14:textId="77777777" w:rsidR="001F5F45" w:rsidRPr="00532E49" w:rsidRDefault="001F5F45" w:rsidP="00532E49">
      <w:pPr>
        <w:tabs>
          <w:tab w:val="left" w:pos="965"/>
        </w:tabs>
        <w:spacing w:line="276" w:lineRule="auto"/>
        <w:jc w:val="both"/>
        <w:rPr>
          <w:rFonts w:asciiTheme="majorHAnsi" w:hAnsiTheme="majorHAnsi"/>
        </w:rPr>
      </w:pPr>
    </w:p>
    <w:p w14:paraId="776F428F" w14:textId="06552C27" w:rsidR="00532E49" w:rsidRDefault="00532E49" w:rsidP="00532E49">
      <w:pPr>
        <w:tabs>
          <w:tab w:val="left" w:pos="965"/>
        </w:tabs>
        <w:spacing w:line="276" w:lineRule="auto"/>
        <w:jc w:val="both"/>
        <w:rPr>
          <w:rFonts w:asciiTheme="majorHAnsi" w:hAnsiTheme="majorHAnsi" w:cs="Arial"/>
          <w:color w:val="006621"/>
          <w:shd w:val="clear" w:color="auto" w:fill="FFFFFF"/>
        </w:rPr>
      </w:pPr>
      <w:r w:rsidRPr="00532E49">
        <w:rPr>
          <w:rFonts w:asciiTheme="majorHAnsi" w:hAnsiTheme="majorHAnsi"/>
        </w:rPr>
        <w:t>Conteh, Michael (2010). “Child Trafficking, child prostitution and the potential dangers of the 2010 FIFA World Cup in South Africa.</w:t>
      </w:r>
      <w:r w:rsidR="00C53EC1">
        <w:rPr>
          <w:rFonts w:asciiTheme="majorHAnsi" w:hAnsiTheme="majorHAnsi"/>
        </w:rPr>
        <w:t>”</w:t>
      </w:r>
      <w:r w:rsidRPr="00532E49">
        <w:rPr>
          <w:rFonts w:asciiTheme="majorHAnsi" w:hAnsiTheme="majorHAnsi"/>
        </w:rPr>
        <w:t xml:space="preserve"> Available at: </w:t>
      </w:r>
      <w:hyperlink r:id="rId23" w:history="1">
        <w:r w:rsidRPr="00532E49">
          <w:rPr>
            <w:rStyle w:val="Hyperlink"/>
            <w:rFonts w:asciiTheme="majorHAnsi" w:hAnsiTheme="majorHAnsi" w:cs="Arial"/>
            <w:shd w:val="clear" w:color="auto" w:fill="FFFFFF"/>
          </w:rPr>
          <w:t>www.kas.de/upload/auslandshomepages/namibia/Children_Rights/Children_v.pdf</w:t>
        </w:r>
      </w:hyperlink>
      <w:r w:rsidRPr="00532E49">
        <w:rPr>
          <w:rFonts w:asciiTheme="majorHAnsi" w:hAnsiTheme="majorHAnsi" w:cs="Arial"/>
          <w:color w:val="006621"/>
          <w:shd w:val="clear" w:color="auto" w:fill="FFFFFF"/>
        </w:rPr>
        <w:t xml:space="preserve"> </w:t>
      </w:r>
    </w:p>
    <w:p w14:paraId="547350EB" w14:textId="77777777" w:rsidR="001F5F45" w:rsidRPr="00532E49" w:rsidRDefault="001F5F45" w:rsidP="00532E49">
      <w:pPr>
        <w:tabs>
          <w:tab w:val="left" w:pos="965"/>
        </w:tabs>
        <w:spacing w:line="276" w:lineRule="auto"/>
        <w:jc w:val="both"/>
        <w:rPr>
          <w:rFonts w:asciiTheme="majorHAnsi" w:hAnsiTheme="majorHAnsi" w:cs="Arial"/>
          <w:color w:val="006621"/>
          <w:shd w:val="clear" w:color="auto" w:fill="FFFFFF"/>
        </w:rPr>
      </w:pPr>
    </w:p>
    <w:p w14:paraId="0259531A" w14:textId="762804A2" w:rsidR="00532E49" w:rsidRDefault="00532E49" w:rsidP="00532E49">
      <w:pPr>
        <w:tabs>
          <w:tab w:val="left" w:pos="965"/>
        </w:tabs>
        <w:spacing w:line="276" w:lineRule="auto"/>
        <w:jc w:val="both"/>
        <w:rPr>
          <w:rFonts w:asciiTheme="majorHAnsi" w:hAnsiTheme="majorHAnsi" w:cs="Arial"/>
          <w:color w:val="006621"/>
          <w:shd w:val="clear" w:color="auto" w:fill="FFFFFF"/>
        </w:rPr>
      </w:pPr>
      <w:proofErr w:type="spellStart"/>
      <w:r w:rsidRPr="001F5F45">
        <w:rPr>
          <w:rFonts w:asciiTheme="majorHAnsi" w:hAnsiTheme="majorHAnsi" w:cs="Arial"/>
          <w:shd w:val="clear" w:color="auto" w:fill="FFFFFF"/>
        </w:rPr>
        <w:t>LeadSA</w:t>
      </w:r>
      <w:proofErr w:type="spellEnd"/>
      <w:r w:rsidRPr="001F5F45">
        <w:rPr>
          <w:rFonts w:asciiTheme="majorHAnsi" w:hAnsiTheme="majorHAnsi" w:cs="Arial"/>
          <w:shd w:val="clear" w:color="auto" w:fill="FFFFFF"/>
        </w:rPr>
        <w:t xml:space="preserve"> (2015).</w:t>
      </w:r>
      <w:r w:rsidR="005D4AFA">
        <w:rPr>
          <w:rFonts w:asciiTheme="majorHAnsi" w:hAnsiTheme="majorHAnsi" w:cs="Arial"/>
          <w:shd w:val="clear" w:color="auto" w:fill="FFFFFF"/>
        </w:rPr>
        <w:t xml:space="preserve"> “</w:t>
      </w:r>
      <w:r w:rsidRPr="001F5F45">
        <w:rPr>
          <w:rFonts w:asciiTheme="majorHAnsi" w:hAnsiTheme="majorHAnsi" w:cs="Arial"/>
          <w:shd w:val="clear" w:color="auto" w:fill="FFFFFF"/>
        </w:rPr>
        <w:t>Children's rights in South Africa.</w:t>
      </w:r>
      <w:r w:rsidR="005D4AFA">
        <w:rPr>
          <w:rFonts w:asciiTheme="majorHAnsi" w:hAnsiTheme="majorHAnsi" w:cs="Arial"/>
          <w:shd w:val="clear" w:color="auto" w:fill="FFFFFF"/>
        </w:rPr>
        <w:t>”</w:t>
      </w:r>
      <w:r w:rsidR="00703B2F">
        <w:rPr>
          <w:rFonts w:asciiTheme="majorHAnsi" w:hAnsiTheme="majorHAnsi" w:cs="Arial"/>
          <w:shd w:val="clear" w:color="auto" w:fill="FFFFFF"/>
        </w:rPr>
        <w:t xml:space="preserve"> </w:t>
      </w:r>
      <w:r w:rsidRPr="001F5F45">
        <w:rPr>
          <w:rFonts w:asciiTheme="majorHAnsi" w:hAnsiTheme="majorHAnsi" w:cs="Arial"/>
          <w:shd w:val="clear" w:color="auto" w:fill="FFFFFF"/>
        </w:rPr>
        <w:t xml:space="preserve">Available at: </w:t>
      </w:r>
      <w:hyperlink r:id="rId24" w:history="1">
        <w:r w:rsidRPr="00532E49">
          <w:rPr>
            <w:rStyle w:val="Hyperlink"/>
            <w:rFonts w:asciiTheme="majorHAnsi" w:hAnsiTheme="majorHAnsi" w:cs="Arial"/>
            <w:shd w:val="clear" w:color="auto" w:fill="FFFFFF"/>
          </w:rPr>
          <w:t>http://www.leadsa.co.za/articles/8184/childrens-rights-in-south-africa</w:t>
        </w:r>
      </w:hyperlink>
      <w:r w:rsidRPr="00532E49">
        <w:rPr>
          <w:rFonts w:asciiTheme="majorHAnsi" w:hAnsiTheme="majorHAnsi" w:cs="Arial"/>
          <w:color w:val="006621"/>
          <w:shd w:val="clear" w:color="auto" w:fill="FFFFFF"/>
        </w:rPr>
        <w:t xml:space="preserve"> </w:t>
      </w:r>
    </w:p>
    <w:p w14:paraId="2256A287" w14:textId="77777777" w:rsidR="001F5F45" w:rsidRPr="00532E49" w:rsidRDefault="001F5F45" w:rsidP="00532E49">
      <w:pPr>
        <w:tabs>
          <w:tab w:val="left" w:pos="965"/>
        </w:tabs>
        <w:spacing w:line="276" w:lineRule="auto"/>
        <w:jc w:val="both"/>
        <w:rPr>
          <w:rFonts w:asciiTheme="majorHAnsi" w:hAnsiTheme="majorHAnsi" w:cs="Arial"/>
          <w:color w:val="006621"/>
          <w:shd w:val="clear" w:color="auto" w:fill="FFFFFF"/>
        </w:rPr>
      </w:pPr>
    </w:p>
    <w:p w14:paraId="37D5B655" w14:textId="179691D7" w:rsidR="00532E49" w:rsidRDefault="00532E49" w:rsidP="00532E49">
      <w:pPr>
        <w:tabs>
          <w:tab w:val="left" w:pos="965"/>
        </w:tabs>
        <w:spacing w:line="276" w:lineRule="auto"/>
        <w:jc w:val="both"/>
        <w:rPr>
          <w:rFonts w:asciiTheme="majorHAnsi" w:hAnsiTheme="majorHAnsi"/>
        </w:rPr>
      </w:pPr>
      <w:proofErr w:type="spellStart"/>
      <w:r w:rsidRPr="00532E49">
        <w:rPr>
          <w:rFonts w:asciiTheme="majorHAnsi" w:hAnsiTheme="majorHAnsi"/>
        </w:rPr>
        <w:t>Lebeau</w:t>
      </w:r>
      <w:proofErr w:type="spellEnd"/>
      <w:r w:rsidRPr="00532E49">
        <w:rPr>
          <w:rFonts w:asciiTheme="majorHAnsi" w:hAnsiTheme="majorHAnsi"/>
        </w:rPr>
        <w:t xml:space="preserve">, Vicky (2001) Another child of violence. </w:t>
      </w:r>
      <w:r w:rsidRPr="00E17F4F">
        <w:rPr>
          <w:rFonts w:asciiTheme="majorHAnsi" w:hAnsiTheme="majorHAnsi"/>
          <w:i/>
        </w:rPr>
        <w:t>New Formations</w:t>
      </w:r>
      <w:r w:rsidRPr="00532E49">
        <w:rPr>
          <w:rFonts w:asciiTheme="majorHAnsi" w:hAnsiTheme="majorHAnsi"/>
        </w:rPr>
        <w:t xml:space="preserve"> (42). pp. 19-29.</w:t>
      </w:r>
    </w:p>
    <w:p w14:paraId="0665AD44" w14:textId="77777777" w:rsidR="001F5F45" w:rsidRPr="00532E49" w:rsidRDefault="001F5F45" w:rsidP="00532E49">
      <w:pPr>
        <w:tabs>
          <w:tab w:val="left" w:pos="965"/>
        </w:tabs>
        <w:spacing w:line="276" w:lineRule="auto"/>
        <w:jc w:val="both"/>
        <w:rPr>
          <w:rFonts w:asciiTheme="majorHAnsi" w:hAnsiTheme="majorHAnsi"/>
        </w:rPr>
      </w:pPr>
    </w:p>
    <w:p w14:paraId="1CC0A2F7" w14:textId="29996BC9" w:rsidR="00532E49" w:rsidRDefault="00532E49" w:rsidP="00532E49">
      <w:pPr>
        <w:tabs>
          <w:tab w:val="left" w:pos="965"/>
        </w:tabs>
        <w:spacing w:line="276" w:lineRule="auto"/>
        <w:jc w:val="both"/>
        <w:rPr>
          <w:rFonts w:asciiTheme="majorHAnsi" w:hAnsiTheme="majorHAnsi"/>
        </w:rPr>
      </w:pPr>
      <w:proofErr w:type="spellStart"/>
      <w:r w:rsidRPr="00532E49">
        <w:rPr>
          <w:rFonts w:asciiTheme="majorHAnsi" w:hAnsiTheme="majorHAnsi"/>
        </w:rPr>
        <w:t>Lebeau</w:t>
      </w:r>
      <w:proofErr w:type="spellEnd"/>
      <w:r w:rsidRPr="00532E49">
        <w:rPr>
          <w:rFonts w:asciiTheme="majorHAnsi" w:hAnsiTheme="majorHAnsi"/>
        </w:rPr>
        <w:t xml:space="preserve">, Vicky (2004) The unwelcome child: Elizabeth Eckford and Hannah Arendt. </w:t>
      </w:r>
      <w:r w:rsidRPr="00291B1F">
        <w:rPr>
          <w:rFonts w:asciiTheme="majorHAnsi" w:hAnsiTheme="majorHAnsi"/>
          <w:i/>
        </w:rPr>
        <w:t>Journal of Visual Culture</w:t>
      </w:r>
      <w:r w:rsidRPr="00532E49">
        <w:rPr>
          <w:rFonts w:asciiTheme="majorHAnsi" w:hAnsiTheme="majorHAnsi"/>
        </w:rPr>
        <w:t>, 3 (1). pp. 51-62.</w:t>
      </w:r>
    </w:p>
    <w:p w14:paraId="7DC8CD5D" w14:textId="77777777" w:rsidR="001F5F45" w:rsidRPr="00532E49" w:rsidRDefault="001F5F45" w:rsidP="00532E49">
      <w:pPr>
        <w:tabs>
          <w:tab w:val="left" w:pos="965"/>
        </w:tabs>
        <w:spacing w:line="276" w:lineRule="auto"/>
        <w:jc w:val="both"/>
        <w:rPr>
          <w:rFonts w:asciiTheme="majorHAnsi" w:hAnsiTheme="majorHAnsi"/>
        </w:rPr>
      </w:pPr>
    </w:p>
    <w:p w14:paraId="25389E2C" w14:textId="3164C621" w:rsidR="00532E49" w:rsidRDefault="00532E49" w:rsidP="00532E49">
      <w:pPr>
        <w:tabs>
          <w:tab w:val="left" w:pos="965"/>
        </w:tabs>
        <w:spacing w:line="276" w:lineRule="auto"/>
        <w:jc w:val="both"/>
        <w:rPr>
          <w:rFonts w:asciiTheme="majorHAnsi" w:hAnsiTheme="majorHAnsi"/>
        </w:rPr>
      </w:pPr>
      <w:proofErr w:type="spellStart"/>
      <w:r w:rsidRPr="00532E49">
        <w:rPr>
          <w:rFonts w:asciiTheme="majorHAnsi" w:hAnsiTheme="majorHAnsi"/>
        </w:rPr>
        <w:t>Lebeau</w:t>
      </w:r>
      <w:proofErr w:type="spellEnd"/>
      <w:r w:rsidRPr="00532E49">
        <w:rPr>
          <w:rFonts w:asciiTheme="majorHAnsi" w:hAnsiTheme="majorHAnsi"/>
        </w:rPr>
        <w:t>, Vicky (2006</w:t>
      </w:r>
      <w:r w:rsidRPr="001F5F45">
        <w:rPr>
          <w:rFonts w:asciiTheme="majorHAnsi" w:hAnsiTheme="majorHAnsi"/>
          <w:i/>
        </w:rPr>
        <w:t>) Children of violence: Frantz Fanon's Black Skin, White Masks</w:t>
      </w:r>
      <w:r w:rsidRPr="00532E49">
        <w:rPr>
          <w:rFonts w:asciiTheme="majorHAnsi" w:hAnsiTheme="majorHAnsi"/>
        </w:rPr>
        <w:t>. In: Silverman, Max (ed.) Frantz Fanon's 'Black Skin, White Masks'. Texts in Culture. Manchester University Press, pp. 128-145.</w:t>
      </w:r>
    </w:p>
    <w:p w14:paraId="0211A2D4" w14:textId="77777777" w:rsidR="001F5F45" w:rsidRPr="00532E49" w:rsidRDefault="001F5F45" w:rsidP="00532E49">
      <w:pPr>
        <w:tabs>
          <w:tab w:val="left" w:pos="965"/>
        </w:tabs>
        <w:spacing w:line="276" w:lineRule="auto"/>
        <w:jc w:val="both"/>
        <w:rPr>
          <w:rFonts w:asciiTheme="majorHAnsi" w:hAnsiTheme="majorHAnsi"/>
        </w:rPr>
      </w:pPr>
    </w:p>
    <w:p w14:paraId="0818B98E" w14:textId="4FB01D70" w:rsidR="00532E49" w:rsidRDefault="00532E49" w:rsidP="00532E49">
      <w:pPr>
        <w:tabs>
          <w:tab w:val="left" w:pos="965"/>
        </w:tabs>
        <w:spacing w:line="276" w:lineRule="auto"/>
        <w:jc w:val="both"/>
        <w:rPr>
          <w:rFonts w:asciiTheme="majorHAnsi" w:hAnsiTheme="majorHAnsi" w:cs="Arial"/>
          <w:color w:val="006621"/>
          <w:shd w:val="clear" w:color="auto" w:fill="FFFFFF"/>
        </w:rPr>
      </w:pPr>
      <w:r w:rsidRPr="00C85704">
        <w:rPr>
          <w:rFonts w:asciiTheme="majorHAnsi" w:hAnsiTheme="majorHAnsi" w:cs="Arial"/>
          <w:shd w:val="clear" w:color="auto" w:fill="FFFFFF"/>
        </w:rPr>
        <w:t>UNICEF (2017). Children’s Rights. Available at:</w:t>
      </w:r>
      <w:r w:rsidRPr="00C85704">
        <w:rPr>
          <w:rFonts w:asciiTheme="majorHAnsi" w:hAnsiTheme="majorHAnsi"/>
        </w:rPr>
        <w:t xml:space="preserve"> </w:t>
      </w:r>
      <w:hyperlink r:id="rId25" w:history="1">
        <w:r w:rsidRPr="00532E49">
          <w:rPr>
            <w:rStyle w:val="Hyperlink"/>
            <w:rFonts w:asciiTheme="majorHAnsi" w:hAnsiTheme="majorHAnsi" w:cs="Arial"/>
            <w:shd w:val="clear" w:color="auto" w:fill="FFFFFF"/>
          </w:rPr>
          <w:t>https://www.unicef.org/southafrica/resources_5237.html</w:t>
        </w:r>
      </w:hyperlink>
      <w:r w:rsidRPr="00532E49">
        <w:rPr>
          <w:rFonts w:asciiTheme="majorHAnsi" w:hAnsiTheme="majorHAnsi" w:cs="Arial"/>
          <w:color w:val="006621"/>
          <w:shd w:val="clear" w:color="auto" w:fill="FFFFFF"/>
        </w:rPr>
        <w:t xml:space="preserve"> </w:t>
      </w:r>
    </w:p>
    <w:p w14:paraId="32661EF1" w14:textId="77777777" w:rsidR="00C85704" w:rsidRPr="00532E49" w:rsidRDefault="00C85704" w:rsidP="00532E49">
      <w:pPr>
        <w:tabs>
          <w:tab w:val="left" w:pos="965"/>
        </w:tabs>
        <w:spacing w:line="276" w:lineRule="auto"/>
        <w:jc w:val="both"/>
        <w:rPr>
          <w:rFonts w:asciiTheme="majorHAnsi" w:hAnsiTheme="majorHAnsi" w:cs="Arial"/>
          <w:color w:val="006621"/>
          <w:shd w:val="clear" w:color="auto" w:fill="FFFFFF"/>
        </w:rPr>
      </w:pPr>
    </w:p>
    <w:p w14:paraId="37933F93" w14:textId="77777777" w:rsidR="00532E49" w:rsidRPr="00532E49" w:rsidRDefault="00532E49" w:rsidP="00532E49">
      <w:pPr>
        <w:tabs>
          <w:tab w:val="left" w:pos="965"/>
        </w:tabs>
        <w:spacing w:line="276" w:lineRule="auto"/>
        <w:jc w:val="both"/>
        <w:rPr>
          <w:rFonts w:asciiTheme="majorHAnsi" w:hAnsiTheme="majorHAnsi"/>
        </w:rPr>
      </w:pPr>
      <w:r w:rsidRPr="00532E49">
        <w:rPr>
          <w:rFonts w:asciiTheme="majorHAnsi" w:hAnsiTheme="majorHAnsi"/>
        </w:rPr>
        <w:t xml:space="preserve">USAID. (2009). A baseline Assessment of Human Trafficking in Namibia. Available at: </w:t>
      </w:r>
      <w:hyperlink r:id="rId26" w:history="1">
        <w:r w:rsidRPr="00532E49">
          <w:rPr>
            <w:rStyle w:val="Hyperlink"/>
            <w:rFonts w:asciiTheme="majorHAnsi" w:hAnsiTheme="majorHAnsi"/>
          </w:rPr>
          <w:t>http://pdf.usaid.gov/pdf_docs/PA00JBJQ.pdf</w:t>
        </w:r>
      </w:hyperlink>
      <w:r w:rsidRPr="00532E49">
        <w:rPr>
          <w:rFonts w:asciiTheme="majorHAnsi" w:hAnsiTheme="majorHAnsi"/>
        </w:rPr>
        <w:t xml:space="preserve">. </w:t>
      </w:r>
    </w:p>
    <w:sectPr w:rsidR="00532E49" w:rsidRPr="00532E49" w:rsidSect="005F0B9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3FDC58" w14:textId="77777777" w:rsidR="00520302" w:rsidRDefault="00520302" w:rsidP="0053255E">
      <w:r>
        <w:separator/>
      </w:r>
    </w:p>
  </w:endnote>
  <w:endnote w:type="continuationSeparator" w:id="0">
    <w:p w14:paraId="415EF0B4" w14:textId="77777777" w:rsidR="00520302" w:rsidRDefault="00520302" w:rsidP="00532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957767" w14:textId="77777777" w:rsidR="00070A42" w:rsidRDefault="00070A42">
    <w:pPr>
      <w:pStyle w:val="Footer"/>
      <w:jc w:val="right"/>
    </w:pPr>
  </w:p>
  <w:p w14:paraId="001256A1" w14:textId="77777777" w:rsidR="00070A42" w:rsidRDefault="00070A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0861569"/>
      <w:docPartObj>
        <w:docPartGallery w:val="Page Numbers (Bottom of Page)"/>
        <w:docPartUnique/>
      </w:docPartObj>
    </w:sdtPr>
    <w:sdtEndPr/>
    <w:sdtContent>
      <w:p w14:paraId="3953A753" w14:textId="408DA90B" w:rsidR="00070A42" w:rsidRDefault="00070A42">
        <w:pPr>
          <w:pStyle w:val="Footer"/>
          <w:jc w:val="right"/>
        </w:pPr>
        <w:r>
          <w:fldChar w:fldCharType="begin"/>
        </w:r>
        <w:r>
          <w:instrText xml:space="preserve"> PAGE   \* MERGEFORMAT </w:instrText>
        </w:r>
        <w:r>
          <w:fldChar w:fldCharType="separate"/>
        </w:r>
        <w:r w:rsidR="004C2A00">
          <w:rPr>
            <w:noProof/>
          </w:rPr>
          <w:t>18</w:t>
        </w:r>
        <w:r>
          <w:rPr>
            <w:noProof/>
          </w:rPr>
          <w:fldChar w:fldCharType="end"/>
        </w:r>
      </w:p>
    </w:sdtContent>
  </w:sdt>
  <w:p w14:paraId="5946FC2F" w14:textId="77777777" w:rsidR="00070A42" w:rsidRPr="000C5871" w:rsidRDefault="00070A42">
    <w:pPr>
      <w:pStyle w:val="Footer"/>
      <w:tabs>
        <w:tab w:val="right" w:pos="9000"/>
      </w:tabs>
      <w:jc w:val="right"/>
      <w:rPr>
        <w:rFonts w:ascii="Cambria" w:hAnsi="Cambria"/>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06D763" w14:textId="77777777" w:rsidR="00520302" w:rsidRDefault="00520302" w:rsidP="0053255E">
      <w:r>
        <w:separator/>
      </w:r>
    </w:p>
  </w:footnote>
  <w:footnote w:type="continuationSeparator" w:id="0">
    <w:p w14:paraId="14C7BDA2" w14:textId="77777777" w:rsidR="00520302" w:rsidRDefault="00520302" w:rsidP="0053255E">
      <w:r>
        <w:continuationSeparator/>
      </w:r>
    </w:p>
  </w:footnote>
  <w:footnote w:id="1">
    <w:p w14:paraId="61E2A213" w14:textId="30FB2B6E" w:rsidR="00070A42" w:rsidRPr="00070A42" w:rsidRDefault="00070A42">
      <w:pPr>
        <w:pStyle w:val="FootnoteText"/>
        <w:rPr>
          <w:lang w:val="en-US"/>
        </w:rPr>
      </w:pPr>
      <w:r>
        <w:rPr>
          <w:rStyle w:val="FootnoteReference"/>
        </w:rPr>
        <w:footnoteRef/>
      </w:r>
      <w:r>
        <w:t xml:space="preserve"> </w:t>
      </w:r>
      <w:hyperlink r:id="rId1" w:history="1">
        <w:r w:rsidRPr="00AA2C4E">
          <w:rPr>
            <w:rStyle w:val="Hyperlink"/>
            <w:lang w:val="en-US"/>
          </w:rPr>
          <w:t>www.ci.org.za</w:t>
        </w:r>
      </w:hyperlink>
      <w:r>
        <w:rPr>
          <w:lang w:val="en-US"/>
        </w:rPr>
        <w:t xml:space="preserve"> , 2016 ,2015,2014,2013 and 2012 South Africa Child Gauge Reports </w:t>
      </w:r>
    </w:p>
  </w:footnote>
  <w:footnote w:id="2">
    <w:p w14:paraId="15EE8808" w14:textId="77777777" w:rsidR="00070A42" w:rsidRPr="00A00BEA" w:rsidRDefault="00070A42" w:rsidP="00C64A59">
      <w:pPr>
        <w:pStyle w:val="FootnoteText"/>
        <w:rPr>
          <w:rFonts w:asciiTheme="majorHAnsi" w:hAnsiTheme="majorHAnsi"/>
          <w:sz w:val="20"/>
          <w:szCs w:val="20"/>
        </w:rPr>
      </w:pPr>
      <w:r w:rsidRPr="00A00BEA">
        <w:rPr>
          <w:rStyle w:val="FootnoteReference"/>
          <w:rFonts w:asciiTheme="majorHAnsi" w:hAnsiTheme="majorHAnsi"/>
          <w:sz w:val="20"/>
          <w:szCs w:val="20"/>
        </w:rPr>
        <w:footnoteRef/>
      </w:r>
      <w:r w:rsidRPr="00A00BEA">
        <w:rPr>
          <w:rFonts w:asciiTheme="majorHAnsi" w:hAnsiTheme="majorHAnsi"/>
          <w:sz w:val="20"/>
          <w:szCs w:val="20"/>
        </w:rPr>
        <w:t xml:space="preserve"> UN Committee on the Rights of the Child, General Comment No.</w:t>
      </w:r>
      <w:proofErr w:type="gramStart"/>
      <w:r w:rsidRPr="00A00BEA">
        <w:rPr>
          <w:rFonts w:asciiTheme="majorHAnsi" w:hAnsiTheme="majorHAnsi"/>
          <w:sz w:val="20"/>
          <w:szCs w:val="20"/>
        </w:rPr>
        <w:t>5 :</w:t>
      </w:r>
      <w:r w:rsidRPr="00A00BEA">
        <w:rPr>
          <w:rFonts w:asciiTheme="majorHAnsi" w:hAnsiTheme="majorHAnsi"/>
          <w:i/>
          <w:sz w:val="20"/>
          <w:szCs w:val="20"/>
        </w:rPr>
        <w:t>General</w:t>
      </w:r>
      <w:proofErr w:type="gramEnd"/>
      <w:r w:rsidRPr="00A00BEA">
        <w:rPr>
          <w:rFonts w:asciiTheme="majorHAnsi" w:hAnsiTheme="majorHAnsi"/>
          <w:i/>
          <w:sz w:val="20"/>
          <w:szCs w:val="20"/>
        </w:rPr>
        <w:t xml:space="preserve"> Measures Implementation for the Convention on the Rights of the Child, </w:t>
      </w:r>
      <w:r w:rsidRPr="00A00BEA">
        <w:rPr>
          <w:rFonts w:asciiTheme="majorHAnsi" w:hAnsiTheme="majorHAnsi"/>
          <w:sz w:val="20"/>
          <w:szCs w:val="20"/>
        </w:rPr>
        <w:t>CRC/C/GC/2003/5 , para.5</w:t>
      </w:r>
    </w:p>
  </w:footnote>
  <w:footnote w:id="3">
    <w:p w14:paraId="7AE5477C" w14:textId="77777777" w:rsidR="00070A42" w:rsidRPr="00A00BEA" w:rsidRDefault="00070A42" w:rsidP="001802C4">
      <w:pPr>
        <w:pStyle w:val="FootnoteText"/>
        <w:rPr>
          <w:rFonts w:asciiTheme="majorHAnsi" w:hAnsiTheme="majorHAnsi"/>
          <w:sz w:val="20"/>
          <w:szCs w:val="20"/>
        </w:rPr>
      </w:pPr>
      <w:r w:rsidRPr="00A00BEA">
        <w:rPr>
          <w:rFonts w:asciiTheme="majorHAnsi" w:eastAsia="Arial" w:hAnsiTheme="majorHAnsi" w:cs="Arial"/>
          <w:sz w:val="20"/>
          <w:szCs w:val="20"/>
          <w:vertAlign w:val="superscript"/>
        </w:rPr>
        <w:footnoteRef/>
      </w:r>
      <w:r w:rsidRPr="00A00BEA">
        <w:rPr>
          <w:rFonts w:asciiTheme="majorHAnsi" w:hAnsiTheme="majorHAnsi"/>
          <w:sz w:val="20"/>
          <w:szCs w:val="20"/>
        </w:rPr>
        <w:t xml:space="preserve"> Trading Economics, South Africa, www.ieconomics.com/south-africa, 2014. </w:t>
      </w:r>
    </w:p>
  </w:footnote>
  <w:footnote w:id="4">
    <w:p w14:paraId="48F4632C" w14:textId="77777777" w:rsidR="00070A42" w:rsidRPr="00A00BEA" w:rsidRDefault="00070A42" w:rsidP="001802C4">
      <w:pPr>
        <w:pStyle w:val="FootnoteText"/>
        <w:rPr>
          <w:rFonts w:asciiTheme="majorHAnsi" w:hAnsiTheme="majorHAnsi"/>
          <w:sz w:val="20"/>
          <w:szCs w:val="20"/>
        </w:rPr>
      </w:pPr>
      <w:r w:rsidRPr="00A00BEA">
        <w:rPr>
          <w:rFonts w:asciiTheme="majorHAnsi" w:eastAsia="Arial" w:hAnsiTheme="majorHAnsi" w:cs="Arial"/>
          <w:sz w:val="20"/>
          <w:szCs w:val="20"/>
          <w:vertAlign w:val="superscript"/>
        </w:rPr>
        <w:footnoteRef/>
      </w:r>
      <w:r w:rsidRPr="00A00BEA">
        <w:rPr>
          <w:rFonts w:asciiTheme="majorHAnsi" w:hAnsiTheme="majorHAnsi"/>
          <w:sz w:val="20"/>
          <w:szCs w:val="20"/>
        </w:rPr>
        <w:t xml:space="preserve"> African Economic Outlook, South Africa, 2014. </w:t>
      </w:r>
    </w:p>
  </w:footnote>
  <w:footnote w:id="5">
    <w:p w14:paraId="628D6407" w14:textId="77777777" w:rsidR="00070A42" w:rsidRPr="00A00BEA" w:rsidRDefault="00070A42" w:rsidP="001802C4">
      <w:pPr>
        <w:pStyle w:val="FootnoteText"/>
        <w:rPr>
          <w:rFonts w:asciiTheme="majorHAnsi" w:hAnsiTheme="majorHAnsi"/>
          <w:sz w:val="20"/>
          <w:szCs w:val="20"/>
        </w:rPr>
      </w:pPr>
      <w:r w:rsidRPr="00A00BEA">
        <w:rPr>
          <w:rFonts w:asciiTheme="majorHAnsi" w:eastAsia="Arial" w:hAnsiTheme="majorHAnsi" w:cs="Arial"/>
          <w:sz w:val="20"/>
          <w:szCs w:val="20"/>
          <w:vertAlign w:val="superscript"/>
        </w:rPr>
        <w:footnoteRef/>
      </w:r>
      <w:r w:rsidRPr="00A00BEA">
        <w:rPr>
          <w:rFonts w:asciiTheme="majorHAnsi" w:hAnsiTheme="majorHAnsi"/>
          <w:sz w:val="20"/>
          <w:szCs w:val="20"/>
        </w:rPr>
        <w:t xml:space="preserve"> Ibid</w:t>
      </w:r>
    </w:p>
  </w:footnote>
  <w:footnote w:id="6">
    <w:p w14:paraId="65434099" w14:textId="77777777" w:rsidR="00070A42" w:rsidRPr="00A00BEA" w:rsidRDefault="00070A42" w:rsidP="001802C4">
      <w:pPr>
        <w:pStyle w:val="FootnoteText"/>
        <w:rPr>
          <w:rFonts w:asciiTheme="majorHAnsi" w:hAnsiTheme="majorHAnsi"/>
          <w:sz w:val="20"/>
          <w:szCs w:val="20"/>
        </w:rPr>
      </w:pPr>
      <w:r w:rsidRPr="00A00BEA">
        <w:rPr>
          <w:rStyle w:val="FootnoteReference"/>
          <w:rFonts w:asciiTheme="majorHAnsi" w:hAnsiTheme="majorHAnsi"/>
          <w:sz w:val="20"/>
          <w:szCs w:val="20"/>
        </w:rPr>
        <w:footnoteRef/>
      </w:r>
      <w:r w:rsidRPr="00A00BEA">
        <w:rPr>
          <w:rFonts w:asciiTheme="majorHAnsi" w:hAnsiTheme="majorHAnsi"/>
          <w:sz w:val="20"/>
          <w:szCs w:val="20"/>
        </w:rPr>
        <w:t xml:space="preserve"> See Africa Economic </w:t>
      </w:r>
      <w:proofErr w:type="gramStart"/>
      <w:r w:rsidRPr="00A00BEA">
        <w:rPr>
          <w:rFonts w:asciiTheme="majorHAnsi" w:hAnsiTheme="majorHAnsi"/>
          <w:sz w:val="20"/>
          <w:szCs w:val="20"/>
        </w:rPr>
        <w:t>Outlook  Reports</w:t>
      </w:r>
      <w:proofErr w:type="gramEnd"/>
      <w:r w:rsidRPr="00A00BEA">
        <w:rPr>
          <w:rFonts w:asciiTheme="majorHAnsi" w:hAnsiTheme="majorHAnsi"/>
          <w:sz w:val="20"/>
          <w:szCs w:val="20"/>
        </w:rPr>
        <w:t xml:space="preserve"> 2015 and 2016 </w:t>
      </w:r>
    </w:p>
  </w:footnote>
  <w:footnote w:id="7">
    <w:p w14:paraId="6012288A" w14:textId="77777777" w:rsidR="00070A42" w:rsidRPr="00A00BEA" w:rsidRDefault="00070A42" w:rsidP="001802C4">
      <w:pPr>
        <w:pStyle w:val="FootnoteText"/>
        <w:rPr>
          <w:rFonts w:asciiTheme="majorHAnsi" w:hAnsiTheme="majorHAnsi"/>
          <w:sz w:val="20"/>
          <w:szCs w:val="20"/>
        </w:rPr>
      </w:pPr>
      <w:r w:rsidRPr="00A00BEA">
        <w:rPr>
          <w:rStyle w:val="FootnoteReference"/>
          <w:rFonts w:asciiTheme="majorHAnsi" w:hAnsiTheme="majorHAnsi"/>
          <w:sz w:val="20"/>
          <w:szCs w:val="20"/>
        </w:rPr>
        <w:footnoteRef/>
      </w:r>
      <w:r w:rsidRPr="00A00BEA">
        <w:rPr>
          <w:rFonts w:asciiTheme="majorHAnsi" w:hAnsiTheme="majorHAnsi"/>
          <w:bCs/>
          <w:sz w:val="20"/>
          <w:szCs w:val="20"/>
        </w:rPr>
        <w:t>Unemployment in South Africa measures the jobless rate or in other words, the number of people actively seeking employment as a percentage of the labour force; the overall labour force participation rate is 57.4%.</w:t>
      </w:r>
    </w:p>
  </w:footnote>
  <w:footnote w:id="8">
    <w:p w14:paraId="33AA12BF" w14:textId="77777777" w:rsidR="00070A42" w:rsidRPr="00A00BEA" w:rsidRDefault="00070A42" w:rsidP="001802C4">
      <w:pPr>
        <w:pStyle w:val="FootnoteText"/>
        <w:rPr>
          <w:rFonts w:asciiTheme="majorHAnsi" w:hAnsiTheme="majorHAnsi"/>
          <w:sz w:val="20"/>
          <w:szCs w:val="20"/>
        </w:rPr>
      </w:pPr>
      <w:r w:rsidRPr="00A00BEA">
        <w:rPr>
          <w:rFonts w:asciiTheme="majorHAnsi" w:eastAsia="Arial" w:hAnsiTheme="majorHAnsi" w:cs="Arial"/>
          <w:sz w:val="20"/>
          <w:szCs w:val="20"/>
          <w:vertAlign w:val="superscript"/>
        </w:rPr>
        <w:footnoteRef/>
      </w:r>
      <w:r w:rsidRPr="00A00BEA">
        <w:rPr>
          <w:rFonts w:asciiTheme="majorHAnsi" w:hAnsiTheme="majorHAnsi"/>
          <w:sz w:val="20"/>
          <w:szCs w:val="20"/>
        </w:rPr>
        <w:t>Mid-year population estimates 2014 – Statistical release PO302, Statistics S.A, 2014.</w:t>
      </w:r>
    </w:p>
  </w:footnote>
  <w:footnote w:id="9">
    <w:p w14:paraId="1E9DF059" w14:textId="77777777" w:rsidR="00070A42" w:rsidRPr="00A00BEA" w:rsidRDefault="00070A42" w:rsidP="00025098">
      <w:pPr>
        <w:pStyle w:val="FootnoteText"/>
        <w:rPr>
          <w:rFonts w:asciiTheme="majorHAnsi" w:hAnsiTheme="majorHAnsi"/>
          <w:sz w:val="20"/>
          <w:szCs w:val="20"/>
        </w:rPr>
      </w:pPr>
      <w:r w:rsidRPr="00A00BEA">
        <w:rPr>
          <w:rStyle w:val="FootnoteReference"/>
          <w:rFonts w:asciiTheme="majorHAnsi" w:hAnsiTheme="majorHAnsi"/>
          <w:sz w:val="20"/>
          <w:szCs w:val="20"/>
        </w:rPr>
        <w:footnoteRef/>
      </w:r>
      <w:r w:rsidRPr="00A00BEA">
        <w:rPr>
          <w:rFonts w:asciiTheme="majorHAnsi" w:hAnsiTheme="majorHAnsi"/>
          <w:sz w:val="20"/>
          <w:szCs w:val="20"/>
        </w:rPr>
        <w:t xml:space="preserve"> See </w:t>
      </w:r>
      <w:hyperlink r:id="rId2" w:history="1">
        <w:r w:rsidRPr="00A00BEA">
          <w:rPr>
            <w:rStyle w:val="Hyperlink"/>
            <w:rFonts w:asciiTheme="majorHAnsi" w:hAnsiTheme="majorHAnsi"/>
            <w:sz w:val="20"/>
            <w:szCs w:val="20"/>
          </w:rPr>
          <w:t>www.info.gov.co.za</w:t>
        </w:r>
      </w:hyperlink>
    </w:p>
  </w:footnote>
  <w:footnote w:id="10">
    <w:p w14:paraId="2C1A3A55" w14:textId="77777777" w:rsidR="00070A42" w:rsidRPr="00A00BEA" w:rsidRDefault="00070A42" w:rsidP="00025098">
      <w:pPr>
        <w:pStyle w:val="FootnoteText"/>
        <w:rPr>
          <w:rFonts w:asciiTheme="majorHAnsi" w:hAnsiTheme="majorHAnsi"/>
          <w:sz w:val="20"/>
          <w:szCs w:val="20"/>
        </w:rPr>
      </w:pPr>
      <w:r w:rsidRPr="00A00BEA">
        <w:rPr>
          <w:rStyle w:val="FootnoteReference"/>
          <w:rFonts w:asciiTheme="majorHAnsi" w:hAnsiTheme="majorHAnsi"/>
          <w:sz w:val="20"/>
          <w:szCs w:val="20"/>
        </w:rPr>
        <w:footnoteRef/>
      </w:r>
      <w:r w:rsidRPr="00A00BEA">
        <w:rPr>
          <w:rFonts w:asciiTheme="majorHAnsi" w:hAnsiTheme="majorHAnsi"/>
          <w:sz w:val="20"/>
          <w:szCs w:val="20"/>
        </w:rPr>
        <w:t xml:space="preserve"> See illustrated </w:t>
      </w:r>
      <w:proofErr w:type="gramStart"/>
      <w:r w:rsidRPr="00A00BEA">
        <w:rPr>
          <w:rFonts w:asciiTheme="majorHAnsi" w:hAnsiTheme="majorHAnsi"/>
          <w:sz w:val="20"/>
          <w:szCs w:val="20"/>
        </w:rPr>
        <w:t>Guide  issued</w:t>
      </w:r>
      <w:proofErr w:type="gramEnd"/>
      <w:r w:rsidRPr="00A00BEA">
        <w:rPr>
          <w:rFonts w:asciiTheme="majorHAnsi" w:hAnsiTheme="majorHAnsi"/>
          <w:sz w:val="20"/>
          <w:szCs w:val="20"/>
        </w:rPr>
        <w:t xml:space="preserve"> by the </w:t>
      </w:r>
      <w:proofErr w:type="spellStart"/>
      <w:r w:rsidRPr="00A00BEA">
        <w:rPr>
          <w:rFonts w:asciiTheme="majorHAnsi" w:hAnsiTheme="majorHAnsi"/>
          <w:sz w:val="20"/>
          <w:szCs w:val="20"/>
        </w:rPr>
        <w:t>Natonal</w:t>
      </w:r>
      <w:proofErr w:type="spellEnd"/>
      <w:r w:rsidRPr="00A00BEA">
        <w:rPr>
          <w:rFonts w:asciiTheme="majorHAnsi" w:hAnsiTheme="majorHAnsi"/>
          <w:sz w:val="20"/>
          <w:szCs w:val="20"/>
        </w:rPr>
        <w:t xml:space="preserve"> Children’s  Rights Committee, South Africa,2009</w:t>
      </w:r>
    </w:p>
  </w:footnote>
  <w:footnote w:id="11">
    <w:p w14:paraId="053CAAF8" w14:textId="77777777" w:rsidR="00070A42" w:rsidRPr="00A00BEA" w:rsidRDefault="00070A42" w:rsidP="00AA4AD1">
      <w:pPr>
        <w:pStyle w:val="FootnoteText"/>
        <w:rPr>
          <w:rFonts w:asciiTheme="majorHAnsi" w:hAnsiTheme="majorHAnsi"/>
          <w:sz w:val="20"/>
          <w:szCs w:val="20"/>
        </w:rPr>
      </w:pPr>
      <w:r w:rsidRPr="00A00BEA">
        <w:rPr>
          <w:rStyle w:val="FootnoteReference"/>
          <w:rFonts w:asciiTheme="majorHAnsi" w:hAnsiTheme="majorHAnsi"/>
          <w:sz w:val="20"/>
          <w:szCs w:val="20"/>
        </w:rPr>
        <w:footnoteRef/>
      </w:r>
      <w:proofErr w:type="gramStart"/>
      <w:r w:rsidRPr="00A00BEA">
        <w:rPr>
          <w:rFonts w:asciiTheme="majorHAnsi" w:hAnsiTheme="majorHAnsi"/>
          <w:i/>
          <w:sz w:val="20"/>
          <w:szCs w:val="20"/>
        </w:rPr>
        <w:t xml:space="preserve">Source </w:t>
      </w:r>
      <w:r w:rsidRPr="00A00BEA">
        <w:rPr>
          <w:rFonts w:asciiTheme="majorHAnsi" w:hAnsiTheme="majorHAnsi"/>
          <w:sz w:val="20"/>
          <w:szCs w:val="20"/>
        </w:rPr>
        <w:t>:</w:t>
      </w:r>
      <w:proofErr w:type="gramEnd"/>
      <w:r w:rsidRPr="00A00BEA">
        <w:rPr>
          <w:rFonts w:asciiTheme="majorHAnsi" w:hAnsiTheme="majorHAnsi"/>
          <w:sz w:val="20"/>
          <w:szCs w:val="20"/>
        </w:rPr>
        <w:t xml:space="preserve"> Calculations based on data from Statistics South Africa’s General Household Survey, 2014</w:t>
      </w:r>
    </w:p>
    <w:p w14:paraId="0377A8A4" w14:textId="77777777" w:rsidR="00070A42" w:rsidRPr="00A00BEA" w:rsidRDefault="00070A42" w:rsidP="00AA4AD1">
      <w:pPr>
        <w:pStyle w:val="FootnoteText"/>
        <w:rPr>
          <w:rFonts w:asciiTheme="majorHAnsi" w:hAnsiTheme="majorHAnsi"/>
          <w:sz w:val="20"/>
          <w:szCs w:val="20"/>
          <w:lang w:val="en-US"/>
        </w:rPr>
      </w:pPr>
    </w:p>
  </w:footnote>
  <w:footnote w:id="12">
    <w:p w14:paraId="208D4611" w14:textId="77777777" w:rsidR="00070A42" w:rsidRPr="00A00BEA" w:rsidRDefault="00070A42" w:rsidP="00AA4AD1">
      <w:pPr>
        <w:pStyle w:val="FootnoteText"/>
        <w:rPr>
          <w:rFonts w:asciiTheme="majorHAnsi" w:hAnsiTheme="majorHAnsi"/>
          <w:sz w:val="20"/>
          <w:szCs w:val="20"/>
          <w:lang w:val="en-US"/>
        </w:rPr>
      </w:pPr>
      <w:r w:rsidRPr="00A00BEA">
        <w:rPr>
          <w:rStyle w:val="FootnoteReference"/>
          <w:rFonts w:asciiTheme="majorHAnsi" w:hAnsiTheme="majorHAnsi"/>
          <w:sz w:val="20"/>
          <w:szCs w:val="20"/>
        </w:rPr>
        <w:footnoteRef/>
      </w:r>
      <w:r w:rsidRPr="00A00BEA">
        <w:rPr>
          <w:rFonts w:asciiTheme="majorHAnsi" w:hAnsiTheme="majorHAnsi"/>
          <w:sz w:val="20"/>
          <w:szCs w:val="20"/>
          <w:lang w:val="en-US"/>
        </w:rPr>
        <w:t xml:space="preserve">Source of data: Statistics South Africa (2015), Mid-year population estimates, </w:t>
      </w:r>
      <w:proofErr w:type="gramStart"/>
      <w:r w:rsidRPr="00A00BEA">
        <w:rPr>
          <w:rFonts w:asciiTheme="majorHAnsi" w:hAnsiTheme="majorHAnsi"/>
          <w:sz w:val="20"/>
          <w:szCs w:val="20"/>
          <w:lang w:val="en-US"/>
        </w:rPr>
        <w:t>2015 .</w:t>
      </w:r>
      <w:proofErr w:type="gramEnd"/>
      <w:r w:rsidRPr="00A00BEA">
        <w:rPr>
          <w:rFonts w:asciiTheme="majorHAnsi" w:hAnsiTheme="majorHAnsi"/>
          <w:sz w:val="20"/>
          <w:szCs w:val="20"/>
          <w:lang w:val="en-US"/>
        </w:rPr>
        <w:t xml:space="preserve"> Pretoria: Statistics South Africa </w:t>
      </w:r>
    </w:p>
  </w:footnote>
  <w:footnote w:id="13">
    <w:p w14:paraId="66C5AD46" w14:textId="48FA1A58" w:rsidR="00070A42" w:rsidRPr="00A00BEA" w:rsidRDefault="00070A42" w:rsidP="005F52B1">
      <w:pPr>
        <w:pStyle w:val="FootnoteText"/>
        <w:rPr>
          <w:rFonts w:asciiTheme="majorHAnsi" w:hAnsiTheme="majorHAnsi"/>
          <w:sz w:val="20"/>
          <w:szCs w:val="20"/>
        </w:rPr>
      </w:pPr>
      <w:r w:rsidRPr="00A00BEA">
        <w:rPr>
          <w:rStyle w:val="FootnoteReference"/>
          <w:rFonts w:asciiTheme="majorHAnsi" w:hAnsiTheme="majorHAnsi"/>
          <w:sz w:val="20"/>
          <w:szCs w:val="20"/>
        </w:rPr>
        <w:footnoteRef/>
      </w:r>
      <w:r w:rsidRPr="00A00BEA">
        <w:rPr>
          <w:rFonts w:asciiTheme="majorHAnsi" w:hAnsiTheme="majorHAnsi"/>
          <w:sz w:val="20"/>
          <w:szCs w:val="20"/>
        </w:rPr>
        <w:t xml:space="preserve"> </w:t>
      </w:r>
      <w:proofErr w:type="spellStart"/>
      <w:proofErr w:type="gramStart"/>
      <w:r w:rsidRPr="00A00BEA">
        <w:rPr>
          <w:rFonts w:asciiTheme="majorHAnsi" w:hAnsiTheme="majorHAnsi"/>
          <w:sz w:val="20"/>
          <w:szCs w:val="20"/>
        </w:rPr>
        <w:t>Streak,J</w:t>
      </w:r>
      <w:proofErr w:type="spellEnd"/>
      <w:r w:rsidRPr="00A00BEA">
        <w:rPr>
          <w:rFonts w:asciiTheme="majorHAnsi" w:hAnsiTheme="majorHAnsi"/>
          <w:sz w:val="20"/>
          <w:szCs w:val="20"/>
        </w:rPr>
        <w:t>.</w:t>
      </w:r>
      <w:proofErr w:type="gramEnd"/>
      <w:r w:rsidRPr="00A00BEA">
        <w:rPr>
          <w:rFonts w:asciiTheme="majorHAnsi" w:hAnsiTheme="majorHAnsi"/>
          <w:sz w:val="20"/>
          <w:szCs w:val="20"/>
        </w:rPr>
        <w:t xml:space="preserve">, ‘Conclusion’ in E. Coetzee and J. Streak (eds), </w:t>
      </w:r>
      <w:r w:rsidRPr="00A00BEA">
        <w:rPr>
          <w:rFonts w:asciiTheme="majorHAnsi" w:hAnsiTheme="majorHAnsi"/>
          <w:i/>
          <w:sz w:val="20"/>
          <w:szCs w:val="20"/>
        </w:rPr>
        <w:t xml:space="preserve">Monitoring Child Socio-Economic Rights in South Africa: Achievements and Challenges, </w:t>
      </w:r>
      <w:r w:rsidRPr="00A00BEA">
        <w:rPr>
          <w:rFonts w:asciiTheme="majorHAnsi" w:hAnsiTheme="majorHAnsi"/>
          <w:sz w:val="20"/>
          <w:szCs w:val="20"/>
        </w:rPr>
        <w:t>IDASA: Cape Town, 2004, p.227.</w:t>
      </w:r>
    </w:p>
  </w:footnote>
  <w:footnote w:id="14">
    <w:p w14:paraId="489551FC" w14:textId="77777777" w:rsidR="00070A42" w:rsidRPr="00A00BEA" w:rsidRDefault="00070A42">
      <w:pPr>
        <w:pStyle w:val="FootnoteText"/>
        <w:rPr>
          <w:rFonts w:asciiTheme="majorHAnsi" w:hAnsiTheme="majorHAnsi"/>
          <w:sz w:val="20"/>
          <w:szCs w:val="20"/>
          <w:lang w:val="en-US"/>
        </w:rPr>
      </w:pPr>
      <w:r w:rsidRPr="00A00BEA">
        <w:rPr>
          <w:rStyle w:val="FootnoteReference"/>
          <w:rFonts w:asciiTheme="majorHAnsi" w:hAnsiTheme="majorHAnsi"/>
          <w:sz w:val="20"/>
          <w:szCs w:val="20"/>
        </w:rPr>
        <w:footnoteRef/>
      </w:r>
      <w:proofErr w:type="spellStart"/>
      <w:r w:rsidRPr="00A00BEA">
        <w:rPr>
          <w:rFonts w:asciiTheme="majorHAnsi" w:hAnsiTheme="majorHAnsi"/>
          <w:sz w:val="20"/>
          <w:szCs w:val="20"/>
          <w:lang w:val="en-US"/>
        </w:rPr>
        <w:t>Lebeau</w:t>
      </w:r>
      <w:proofErr w:type="spellEnd"/>
      <w:r w:rsidRPr="00A00BEA">
        <w:rPr>
          <w:rFonts w:asciiTheme="majorHAnsi" w:hAnsiTheme="majorHAnsi"/>
          <w:sz w:val="20"/>
          <w:szCs w:val="20"/>
          <w:lang w:val="en-US"/>
        </w:rPr>
        <w:t xml:space="preserve"> ,2004</w:t>
      </w:r>
    </w:p>
  </w:footnote>
  <w:footnote w:id="15">
    <w:p w14:paraId="23771E8B" w14:textId="77777777" w:rsidR="00070A42" w:rsidRPr="00A00BEA" w:rsidRDefault="00070A42" w:rsidP="00382E47">
      <w:pPr>
        <w:pStyle w:val="FootnoteText"/>
        <w:rPr>
          <w:rFonts w:asciiTheme="majorHAnsi" w:hAnsiTheme="majorHAnsi"/>
          <w:sz w:val="20"/>
          <w:szCs w:val="20"/>
        </w:rPr>
      </w:pPr>
      <w:r w:rsidRPr="00A00BEA">
        <w:rPr>
          <w:rFonts w:asciiTheme="majorHAnsi" w:eastAsia="Arial" w:hAnsiTheme="majorHAnsi" w:cs="Arial"/>
          <w:sz w:val="20"/>
          <w:szCs w:val="20"/>
          <w:vertAlign w:val="superscript"/>
        </w:rPr>
        <w:footnoteRef/>
      </w:r>
      <w:r w:rsidRPr="00A00BEA">
        <w:rPr>
          <w:rFonts w:asciiTheme="majorHAnsi" w:hAnsiTheme="majorHAnsi"/>
          <w:sz w:val="20"/>
          <w:szCs w:val="20"/>
        </w:rPr>
        <w:t xml:space="preserve"> Chapter 1, Section 1 of the Non-Profit Organisations Act 71 of 1997 available </w:t>
      </w:r>
      <w:hyperlink r:id="rId3" w:history="1">
        <w:r w:rsidRPr="00A00BEA">
          <w:rPr>
            <w:rFonts w:asciiTheme="majorHAnsi" w:hAnsiTheme="majorHAnsi"/>
            <w:sz w:val="20"/>
            <w:szCs w:val="20"/>
          </w:rPr>
          <w:t>http://www.saflii.org/za/legis/consol_act/noa1997287/</w:t>
        </w:r>
      </w:hyperlink>
    </w:p>
  </w:footnote>
  <w:footnote w:id="16">
    <w:p w14:paraId="2BDB86D9" w14:textId="77777777" w:rsidR="00070A42" w:rsidRPr="00A00BEA" w:rsidRDefault="00070A42" w:rsidP="00382E47">
      <w:pPr>
        <w:pStyle w:val="FootnoteText"/>
        <w:rPr>
          <w:rFonts w:asciiTheme="majorHAnsi" w:hAnsiTheme="majorHAnsi"/>
          <w:sz w:val="20"/>
          <w:szCs w:val="20"/>
        </w:rPr>
      </w:pPr>
      <w:r w:rsidRPr="00A00BEA">
        <w:rPr>
          <w:rFonts w:asciiTheme="majorHAnsi" w:eastAsia="Arial" w:hAnsiTheme="majorHAnsi" w:cs="Arial"/>
          <w:sz w:val="20"/>
          <w:szCs w:val="20"/>
          <w:vertAlign w:val="superscript"/>
        </w:rPr>
        <w:footnoteRef/>
      </w:r>
      <w:r w:rsidRPr="00A00BEA">
        <w:rPr>
          <w:rFonts w:asciiTheme="majorHAnsi" w:hAnsiTheme="majorHAnsi"/>
          <w:sz w:val="20"/>
          <w:szCs w:val="20"/>
        </w:rPr>
        <w:t xml:space="preserve"> The State of NPO Registration in South Africa, “A Report from the National NPO Database”, July 2009. </w:t>
      </w:r>
    </w:p>
  </w:footnote>
  <w:footnote w:id="17">
    <w:p w14:paraId="1FD11032" w14:textId="77777777" w:rsidR="00070A42" w:rsidRPr="00A00BEA" w:rsidRDefault="00070A42" w:rsidP="00382E47">
      <w:pPr>
        <w:pStyle w:val="FootnoteText"/>
        <w:rPr>
          <w:rFonts w:asciiTheme="majorHAnsi" w:hAnsiTheme="majorHAnsi"/>
          <w:sz w:val="20"/>
          <w:szCs w:val="20"/>
        </w:rPr>
      </w:pPr>
      <w:r w:rsidRPr="00A00BEA">
        <w:rPr>
          <w:rFonts w:asciiTheme="majorHAnsi" w:eastAsia="Arial" w:hAnsiTheme="majorHAnsi" w:cs="Arial"/>
          <w:sz w:val="20"/>
          <w:szCs w:val="20"/>
          <w:vertAlign w:val="superscript"/>
        </w:rPr>
        <w:footnoteRef/>
      </w:r>
      <w:r w:rsidRPr="00A00BEA">
        <w:rPr>
          <w:rFonts w:asciiTheme="majorHAnsi" w:hAnsiTheme="majorHAnsi"/>
          <w:sz w:val="20"/>
          <w:szCs w:val="20"/>
        </w:rPr>
        <w:t xml:space="preserve"> The Constitution of South Africa, Chapter 2, the Bill of Rights, available </w:t>
      </w:r>
      <w:hyperlink r:id="rId4" w:history="1">
        <w:r w:rsidRPr="00A00BEA">
          <w:rPr>
            <w:rFonts w:asciiTheme="majorHAnsi" w:hAnsiTheme="majorHAnsi"/>
            <w:sz w:val="20"/>
            <w:szCs w:val="20"/>
          </w:rPr>
          <w:t>http://www.justice.gov.za/legislation/constitution/SAConstitution-web-eng-02.pdf</w:t>
        </w:r>
      </w:hyperlink>
    </w:p>
  </w:footnote>
  <w:footnote w:id="18">
    <w:p w14:paraId="32670E14" w14:textId="77777777" w:rsidR="00070A42" w:rsidRPr="00A00BEA" w:rsidRDefault="00070A42" w:rsidP="00382E47">
      <w:pPr>
        <w:pStyle w:val="FootnoteText"/>
        <w:rPr>
          <w:rFonts w:asciiTheme="majorHAnsi" w:hAnsiTheme="majorHAnsi"/>
          <w:sz w:val="20"/>
          <w:szCs w:val="20"/>
        </w:rPr>
      </w:pPr>
      <w:r w:rsidRPr="00A00BEA">
        <w:rPr>
          <w:rFonts w:asciiTheme="majorHAnsi" w:eastAsia="Arial" w:hAnsiTheme="majorHAnsi" w:cs="Arial"/>
          <w:sz w:val="20"/>
          <w:szCs w:val="20"/>
          <w:vertAlign w:val="superscript"/>
        </w:rPr>
        <w:footnoteRef/>
      </w:r>
      <w:r w:rsidRPr="00A00BEA">
        <w:rPr>
          <w:rFonts w:asciiTheme="majorHAnsi" w:hAnsiTheme="majorHAnsi"/>
          <w:sz w:val="20"/>
          <w:szCs w:val="20"/>
        </w:rPr>
        <w:t>“Laws and regulations governing NPOs in South Africa”, 2004, p. 2.</w:t>
      </w:r>
    </w:p>
  </w:footnote>
  <w:footnote w:id="19">
    <w:p w14:paraId="3693ECC8" w14:textId="77777777" w:rsidR="00070A42" w:rsidRPr="00A00BEA" w:rsidRDefault="00070A42" w:rsidP="00382E47">
      <w:pPr>
        <w:pStyle w:val="FootnoteText"/>
        <w:rPr>
          <w:rFonts w:asciiTheme="majorHAnsi" w:hAnsiTheme="majorHAnsi"/>
          <w:sz w:val="20"/>
          <w:szCs w:val="20"/>
        </w:rPr>
      </w:pPr>
      <w:r w:rsidRPr="00A00BEA">
        <w:rPr>
          <w:rFonts w:asciiTheme="majorHAnsi" w:eastAsia="Arial" w:hAnsiTheme="majorHAnsi" w:cs="Arial"/>
          <w:sz w:val="20"/>
          <w:szCs w:val="20"/>
          <w:vertAlign w:val="superscript"/>
        </w:rPr>
        <w:footnoteRef/>
      </w:r>
      <w:r w:rsidRPr="00A00BEA">
        <w:rPr>
          <w:rFonts w:asciiTheme="majorHAnsi" w:hAnsiTheme="majorHAnsi"/>
          <w:sz w:val="20"/>
          <w:szCs w:val="20"/>
        </w:rPr>
        <w:t xml:space="preserve"> Ibid.</w:t>
      </w:r>
    </w:p>
  </w:footnote>
  <w:footnote w:id="20">
    <w:p w14:paraId="63EF947D" w14:textId="77777777" w:rsidR="00070A42" w:rsidRPr="00A00BEA" w:rsidRDefault="00070A42" w:rsidP="00382E47">
      <w:pPr>
        <w:pStyle w:val="FootnoteText"/>
        <w:rPr>
          <w:rFonts w:asciiTheme="majorHAnsi" w:hAnsiTheme="majorHAnsi"/>
          <w:sz w:val="20"/>
          <w:szCs w:val="20"/>
        </w:rPr>
      </w:pPr>
      <w:r w:rsidRPr="00A00BEA">
        <w:rPr>
          <w:rFonts w:asciiTheme="majorHAnsi" w:eastAsia="Arial" w:hAnsiTheme="majorHAnsi" w:cs="Arial"/>
          <w:sz w:val="20"/>
          <w:szCs w:val="20"/>
          <w:vertAlign w:val="superscript"/>
        </w:rPr>
        <w:footnoteRef/>
      </w:r>
      <w:r w:rsidRPr="00A00BEA">
        <w:rPr>
          <w:rFonts w:asciiTheme="majorHAnsi" w:hAnsiTheme="majorHAnsi"/>
          <w:sz w:val="20"/>
          <w:szCs w:val="20"/>
        </w:rPr>
        <w:t>South Africa NPO Regulations, 2014.</w:t>
      </w:r>
    </w:p>
  </w:footnote>
  <w:footnote w:id="21">
    <w:p w14:paraId="79206576" w14:textId="77777777" w:rsidR="00070A42" w:rsidRPr="00A00BEA" w:rsidRDefault="00070A42" w:rsidP="00382E47">
      <w:pPr>
        <w:pStyle w:val="FootnoteText"/>
        <w:rPr>
          <w:rFonts w:asciiTheme="majorHAnsi" w:hAnsiTheme="majorHAnsi"/>
          <w:sz w:val="20"/>
          <w:szCs w:val="20"/>
        </w:rPr>
      </w:pPr>
      <w:r w:rsidRPr="00A00BEA">
        <w:rPr>
          <w:rFonts w:asciiTheme="majorHAnsi" w:eastAsia="Arial" w:hAnsiTheme="majorHAnsi" w:cs="Arial"/>
          <w:sz w:val="20"/>
          <w:szCs w:val="20"/>
          <w:vertAlign w:val="superscript"/>
        </w:rPr>
        <w:footnoteRef/>
      </w:r>
      <w:r w:rsidRPr="00A00BEA">
        <w:rPr>
          <w:rFonts w:asciiTheme="majorHAnsi" w:hAnsiTheme="majorHAnsi"/>
          <w:sz w:val="20"/>
          <w:szCs w:val="20"/>
        </w:rPr>
        <w:t xml:space="preserve"> Ibid </w:t>
      </w:r>
    </w:p>
  </w:footnote>
  <w:footnote w:id="22">
    <w:p w14:paraId="6AE148D7" w14:textId="77777777" w:rsidR="00070A42" w:rsidRPr="00A00BEA" w:rsidRDefault="00070A42" w:rsidP="00382E47">
      <w:pPr>
        <w:pStyle w:val="FootnoteText"/>
        <w:rPr>
          <w:rFonts w:asciiTheme="majorHAnsi" w:hAnsiTheme="majorHAnsi"/>
          <w:sz w:val="20"/>
          <w:szCs w:val="20"/>
        </w:rPr>
      </w:pPr>
      <w:r w:rsidRPr="00A00BEA">
        <w:rPr>
          <w:rFonts w:asciiTheme="majorHAnsi" w:eastAsia="Arial" w:hAnsiTheme="majorHAnsi" w:cs="Arial"/>
          <w:sz w:val="20"/>
          <w:szCs w:val="20"/>
          <w:vertAlign w:val="superscript"/>
        </w:rPr>
        <w:footnoteRef/>
      </w:r>
      <w:r w:rsidRPr="00A00BEA">
        <w:rPr>
          <w:rFonts w:asciiTheme="majorHAnsi" w:hAnsiTheme="majorHAnsi"/>
          <w:sz w:val="20"/>
          <w:szCs w:val="20"/>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F3748" w14:textId="77777777" w:rsidR="00070A42" w:rsidRDefault="00070A4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3423"/>
    <w:multiLevelType w:val="hybridMultilevel"/>
    <w:tmpl w:val="AD0AE4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511DEA"/>
    <w:multiLevelType w:val="hybridMultilevel"/>
    <w:tmpl w:val="B8D2E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557853"/>
    <w:multiLevelType w:val="hybridMultilevel"/>
    <w:tmpl w:val="ABB8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6F613C"/>
    <w:multiLevelType w:val="multilevel"/>
    <w:tmpl w:val="06C2C06E"/>
    <w:styleLink w:val="List29"/>
    <w:lvl w:ilvl="0">
      <w:numFmt w:val="bullet"/>
      <w:lvlText w:val="•"/>
      <w:lvlJc w:val="left"/>
      <w:rPr>
        <w:rFonts w:ascii="Calibri" w:eastAsia="Calibri" w:hAnsi="Calibri" w:cs="Calibri"/>
        <w:i/>
        <w:iCs/>
        <w:position w:val="0"/>
        <w:rtl w:val="0"/>
      </w:rPr>
    </w:lvl>
    <w:lvl w:ilvl="1">
      <w:start w:val="1"/>
      <w:numFmt w:val="bullet"/>
      <w:lvlText w:val="o"/>
      <w:lvlJc w:val="left"/>
      <w:rPr>
        <w:rFonts w:ascii="Calibri" w:eastAsia="Calibri" w:hAnsi="Calibri" w:cs="Calibri"/>
        <w:i/>
        <w:iCs/>
        <w:position w:val="0"/>
        <w:rtl w:val="0"/>
      </w:rPr>
    </w:lvl>
    <w:lvl w:ilvl="2">
      <w:start w:val="1"/>
      <w:numFmt w:val="bullet"/>
      <w:lvlText w:val="▪"/>
      <w:lvlJc w:val="left"/>
      <w:rPr>
        <w:rFonts w:ascii="Calibri" w:eastAsia="Calibri" w:hAnsi="Calibri" w:cs="Calibri"/>
        <w:i/>
        <w:iCs/>
        <w:position w:val="0"/>
        <w:rtl w:val="0"/>
      </w:rPr>
    </w:lvl>
    <w:lvl w:ilvl="3">
      <w:start w:val="1"/>
      <w:numFmt w:val="bullet"/>
      <w:lvlText w:val="•"/>
      <w:lvlJc w:val="left"/>
      <w:rPr>
        <w:rFonts w:ascii="Calibri" w:eastAsia="Calibri" w:hAnsi="Calibri" w:cs="Calibri"/>
        <w:i/>
        <w:iCs/>
        <w:position w:val="0"/>
        <w:rtl w:val="0"/>
      </w:rPr>
    </w:lvl>
    <w:lvl w:ilvl="4">
      <w:start w:val="1"/>
      <w:numFmt w:val="bullet"/>
      <w:lvlText w:val="o"/>
      <w:lvlJc w:val="left"/>
      <w:rPr>
        <w:rFonts w:ascii="Calibri" w:eastAsia="Calibri" w:hAnsi="Calibri" w:cs="Calibri"/>
        <w:i/>
        <w:iCs/>
        <w:position w:val="0"/>
        <w:rtl w:val="0"/>
      </w:rPr>
    </w:lvl>
    <w:lvl w:ilvl="5">
      <w:start w:val="1"/>
      <w:numFmt w:val="bullet"/>
      <w:lvlText w:val="▪"/>
      <w:lvlJc w:val="left"/>
      <w:rPr>
        <w:rFonts w:ascii="Calibri" w:eastAsia="Calibri" w:hAnsi="Calibri" w:cs="Calibri"/>
        <w:i/>
        <w:iCs/>
        <w:position w:val="0"/>
        <w:rtl w:val="0"/>
      </w:rPr>
    </w:lvl>
    <w:lvl w:ilvl="6">
      <w:start w:val="1"/>
      <w:numFmt w:val="bullet"/>
      <w:lvlText w:val="•"/>
      <w:lvlJc w:val="left"/>
      <w:rPr>
        <w:rFonts w:ascii="Calibri" w:eastAsia="Calibri" w:hAnsi="Calibri" w:cs="Calibri"/>
        <w:i/>
        <w:iCs/>
        <w:position w:val="0"/>
        <w:rtl w:val="0"/>
      </w:rPr>
    </w:lvl>
    <w:lvl w:ilvl="7">
      <w:start w:val="1"/>
      <w:numFmt w:val="bullet"/>
      <w:lvlText w:val="o"/>
      <w:lvlJc w:val="left"/>
      <w:rPr>
        <w:rFonts w:ascii="Calibri" w:eastAsia="Calibri" w:hAnsi="Calibri" w:cs="Calibri"/>
        <w:i/>
        <w:iCs/>
        <w:position w:val="0"/>
        <w:rtl w:val="0"/>
      </w:rPr>
    </w:lvl>
    <w:lvl w:ilvl="8">
      <w:start w:val="1"/>
      <w:numFmt w:val="bullet"/>
      <w:lvlText w:val="▪"/>
      <w:lvlJc w:val="left"/>
      <w:rPr>
        <w:rFonts w:ascii="Calibri" w:eastAsia="Calibri" w:hAnsi="Calibri" w:cs="Calibri"/>
        <w:i/>
        <w:iCs/>
        <w:position w:val="0"/>
        <w:rtl w:val="0"/>
      </w:rPr>
    </w:lvl>
  </w:abstractNum>
  <w:abstractNum w:abstractNumId="4" w15:restartNumberingAfterBreak="0">
    <w:nsid w:val="061621EE"/>
    <w:multiLevelType w:val="multilevel"/>
    <w:tmpl w:val="CDA4AFAA"/>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050"/>
        </w:tabs>
        <w:ind w:left="10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5" w15:restartNumberingAfterBreak="0">
    <w:nsid w:val="06773B64"/>
    <w:multiLevelType w:val="multilevel"/>
    <w:tmpl w:val="6A8C1D48"/>
    <w:styleLink w:val="List9"/>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050"/>
        </w:tabs>
        <w:ind w:left="10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6" w15:restartNumberingAfterBreak="0">
    <w:nsid w:val="06D142EF"/>
    <w:multiLevelType w:val="multilevel"/>
    <w:tmpl w:val="295C2B8E"/>
    <w:styleLink w:val="List11"/>
    <w:lvl w:ilvl="0">
      <w:numFmt w:val="bullet"/>
      <w:lvlText w:val="•"/>
      <w:lvlJc w:val="left"/>
      <w:pPr>
        <w:tabs>
          <w:tab w:val="num" w:pos="786"/>
        </w:tabs>
        <w:ind w:left="786" w:hanging="36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050"/>
        </w:tabs>
        <w:ind w:left="10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7" w15:restartNumberingAfterBreak="0">
    <w:nsid w:val="07614ECC"/>
    <w:multiLevelType w:val="multilevel"/>
    <w:tmpl w:val="72443E9C"/>
    <w:styleLink w:val="List10"/>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050"/>
        </w:tabs>
        <w:ind w:left="10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8" w15:restartNumberingAfterBreak="0">
    <w:nsid w:val="080D0027"/>
    <w:multiLevelType w:val="multilevel"/>
    <w:tmpl w:val="F10AA4E8"/>
    <w:styleLink w:val="List30"/>
    <w:lvl w:ilvl="0">
      <w:start w:val="1"/>
      <w:numFmt w:val="decimal"/>
      <w:lvlText w:val="%1."/>
      <w:lvlJc w:val="left"/>
      <w:rPr>
        <w:rFonts w:ascii="Arial" w:eastAsia="Arial" w:hAnsi="Arial" w:cs="Arial"/>
        <w:position w:val="0"/>
        <w:u w:val="single"/>
      </w:rPr>
    </w:lvl>
    <w:lvl w:ilvl="1">
      <w:start w:val="1"/>
      <w:numFmt w:val="lowerLetter"/>
      <w:lvlText w:val="%2."/>
      <w:lvlJc w:val="left"/>
      <w:rPr>
        <w:rFonts w:ascii="Arial" w:eastAsia="Arial" w:hAnsi="Arial" w:cs="Arial"/>
        <w:position w:val="0"/>
        <w:u w:val="single"/>
      </w:rPr>
    </w:lvl>
    <w:lvl w:ilvl="2">
      <w:start w:val="1"/>
      <w:numFmt w:val="lowerRoman"/>
      <w:lvlText w:val="%3."/>
      <w:lvlJc w:val="left"/>
      <w:rPr>
        <w:rFonts w:ascii="Arial" w:eastAsia="Arial" w:hAnsi="Arial" w:cs="Arial"/>
        <w:position w:val="0"/>
        <w:u w:val="single"/>
      </w:rPr>
    </w:lvl>
    <w:lvl w:ilvl="3">
      <w:start w:val="1"/>
      <w:numFmt w:val="decimal"/>
      <w:lvlText w:val="%4."/>
      <w:lvlJc w:val="left"/>
      <w:rPr>
        <w:rFonts w:ascii="Arial" w:eastAsia="Arial" w:hAnsi="Arial" w:cs="Arial"/>
        <w:position w:val="0"/>
        <w:u w:val="single"/>
      </w:rPr>
    </w:lvl>
    <w:lvl w:ilvl="4">
      <w:start w:val="1"/>
      <w:numFmt w:val="lowerLetter"/>
      <w:lvlText w:val="%5."/>
      <w:lvlJc w:val="left"/>
      <w:rPr>
        <w:rFonts w:ascii="Arial" w:eastAsia="Arial" w:hAnsi="Arial" w:cs="Arial"/>
        <w:position w:val="0"/>
        <w:u w:val="single"/>
      </w:rPr>
    </w:lvl>
    <w:lvl w:ilvl="5">
      <w:start w:val="1"/>
      <w:numFmt w:val="lowerRoman"/>
      <w:lvlText w:val="%6."/>
      <w:lvlJc w:val="left"/>
      <w:rPr>
        <w:rFonts w:ascii="Arial" w:eastAsia="Arial" w:hAnsi="Arial" w:cs="Arial"/>
        <w:position w:val="0"/>
        <w:u w:val="single"/>
      </w:rPr>
    </w:lvl>
    <w:lvl w:ilvl="6">
      <w:start w:val="1"/>
      <w:numFmt w:val="decimal"/>
      <w:lvlText w:val="%7."/>
      <w:lvlJc w:val="left"/>
      <w:rPr>
        <w:rFonts w:ascii="Arial" w:eastAsia="Arial" w:hAnsi="Arial" w:cs="Arial"/>
        <w:position w:val="0"/>
        <w:u w:val="single"/>
      </w:rPr>
    </w:lvl>
    <w:lvl w:ilvl="7">
      <w:start w:val="1"/>
      <w:numFmt w:val="lowerLetter"/>
      <w:lvlText w:val="%8."/>
      <w:lvlJc w:val="left"/>
      <w:rPr>
        <w:rFonts w:ascii="Arial" w:eastAsia="Arial" w:hAnsi="Arial" w:cs="Arial"/>
        <w:position w:val="0"/>
        <w:u w:val="single"/>
      </w:rPr>
    </w:lvl>
    <w:lvl w:ilvl="8">
      <w:start w:val="1"/>
      <w:numFmt w:val="lowerRoman"/>
      <w:lvlText w:val="%9."/>
      <w:lvlJc w:val="left"/>
      <w:rPr>
        <w:rFonts w:ascii="Arial" w:eastAsia="Arial" w:hAnsi="Arial" w:cs="Arial"/>
        <w:position w:val="0"/>
        <w:u w:val="single"/>
      </w:rPr>
    </w:lvl>
  </w:abstractNum>
  <w:abstractNum w:abstractNumId="9" w15:restartNumberingAfterBreak="0">
    <w:nsid w:val="08246BA1"/>
    <w:multiLevelType w:val="hybridMultilevel"/>
    <w:tmpl w:val="84566A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091F274C"/>
    <w:multiLevelType w:val="hybridMultilevel"/>
    <w:tmpl w:val="8898B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095D605E"/>
    <w:multiLevelType w:val="hybridMultilevel"/>
    <w:tmpl w:val="8F4E3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B6728AE"/>
    <w:multiLevelType w:val="multilevel"/>
    <w:tmpl w:val="8A9024C2"/>
    <w:styleLink w:val="List21"/>
    <w:lvl w:ilvl="0">
      <w:numFmt w:val="bullet"/>
      <w:lvlText w:val="➢"/>
      <w:lvlJc w:val="left"/>
      <w:rPr>
        <w:rFonts w:ascii="Arial" w:eastAsia="Arial" w:hAnsi="Arial" w:cs="Arial"/>
        <w:i/>
        <w:iCs/>
        <w:position w:val="0"/>
      </w:rPr>
    </w:lvl>
    <w:lvl w:ilvl="1">
      <w:start w:val="1"/>
      <w:numFmt w:val="bullet"/>
      <w:lvlText w:val="o"/>
      <w:lvlJc w:val="left"/>
      <w:rPr>
        <w:rFonts w:ascii="Arial" w:eastAsia="Arial" w:hAnsi="Arial" w:cs="Arial"/>
        <w:i/>
        <w:iCs/>
        <w:position w:val="0"/>
      </w:rPr>
    </w:lvl>
    <w:lvl w:ilvl="2">
      <w:start w:val="1"/>
      <w:numFmt w:val="bullet"/>
      <w:lvlText w:val="▪"/>
      <w:lvlJc w:val="left"/>
      <w:rPr>
        <w:rFonts w:ascii="Arial" w:eastAsia="Arial" w:hAnsi="Arial" w:cs="Arial"/>
        <w:i/>
        <w:iCs/>
        <w:position w:val="0"/>
      </w:rPr>
    </w:lvl>
    <w:lvl w:ilvl="3">
      <w:start w:val="1"/>
      <w:numFmt w:val="bullet"/>
      <w:lvlText w:val="•"/>
      <w:lvlJc w:val="left"/>
      <w:rPr>
        <w:rFonts w:ascii="Arial" w:eastAsia="Arial" w:hAnsi="Arial" w:cs="Arial"/>
        <w:i/>
        <w:iCs/>
        <w:position w:val="0"/>
      </w:rPr>
    </w:lvl>
    <w:lvl w:ilvl="4">
      <w:start w:val="1"/>
      <w:numFmt w:val="bullet"/>
      <w:lvlText w:val="o"/>
      <w:lvlJc w:val="left"/>
      <w:rPr>
        <w:rFonts w:ascii="Arial" w:eastAsia="Arial" w:hAnsi="Arial" w:cs="Arial"/>
        <w:i/>
        <w:iCs/>
        <w:position w:val="0"/>
      </w:rPr>
    </w:lvl>
    <w:lvl w:ilvl="5">
      <w:start w:val="1"/>
      <w:numFmt w:val="bullet"/>
      <w:lvlText w:val="▪"/>
      <w:lvlJc w:val="left"/>
      <w:rPr>
        <w:rFonts w:ascii="Arial" w:eastAsia="Arial" w:hAnsi="Arial" w:cs="Arial"/>
        <w:i/>
        <w:iCs/>
        <w:position w:val="0"/>
      </w:rPr>
    </w:lvl>
    <w:lvl w:ilvl="6">
      <w:start w:val="1"/>
      <w:numFmt w:val="bullet"/>
      <w:lvlText w:val="•"/>
      <w:lvlJc w:val="left"/>
      <w:rPr>
        <w:rFonts w:ascii="Arial" w:eastAsia="Arial" w:hAnsi="Arial" w:cs="Arial"/>
        <w:i/>
        <w:iCs/>
        <w:position w:val="0"/>
      </w:rPr>
    </w:lvl>
    <w:lvl w:ilvl="7">
      <w:start w:val="1"/>
      <w:numFmt w:val="bullet"/>
      <w:lvlText w:val="o"/>
      <w:lvlJc w:val="left"/>
      <w:rPr>
        <w:rFonts w:ascii="Arial" w:eastAsia="Arial" w:hAnsi="Arial" w:cs="Arial"/>
        <w:i/>
        <w:iCs/>
        <w:position w:val="0"/>
      </w:rPr>
    </w:lvl>
    <w:lvl w:ilvl="8">
      <w:start w:val="1"/>
      <w:numFmt w:val="bullet"/>
      <w:lvlText w:val="▪"/>
      <w:lvlJc w:val="left"/>
      <w:rPr>
        <w:rFonts w:ascii="Arial" w:eastAsia="Arial" w:hAnsi="Arial" w:cs="Arial"/>
        <w:i/>
        <w:iCs/>
        <w:position w:val="0"/>
      </w:rPr>
    </w:lvl>
  </w:abstractNum>
  <w:abstractNum w:abstractNumId="13" w15:restartNumberingAfterBreak="0">
    <w:nsid w:val="0D4D6B1D"/>
    <w:multiLevelType w:val="hybridMultilevel"/>
    <w:tmpl w:val="ECEE14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0E0D44CA"/>
    <w:multiLevelType w:val="multilevel"/>
    <w:tmpl w:val="9E5EF400"/>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050"/>
        </w:tabs>
        <w:ind w:left="10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15" w15:restartNumberingAfterBreak="0">
    <w:nsid w:val="11FC1914"/>
    <w:multiLevelType w:val="multilevel"/>
    <w:tmpl w:val="A7FC1BC8"/>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050"/>
        </w:tabs>
        <w:ind w:left="10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16" w15:restartNumberingAfterBreak="0">
    <w:nsid w:val="121B369A"/>
    <w:multiLevelType w:val="multilevel"/>
    <w:tmpl w:val="D940E3AE"/>
    <w:styleLink w:val="List7"/>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7" w15:restartNumberingAfterBreak="0">
    <w:nsid w:val="14B62EAA"/>
    <w:multiLevelType w:val="hybridMultilevel"/>
    <w:tmpl w:val="D4BCF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16AD13A9"/>
    <w:multiLevelType w:val="hybridMultilevel"/>
    <w:tmpl w:val="D6D8AE0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8327899"/>
    <w:multiLevelType w:val="multilevel"/>
    <w:tmpl w:val="997EE7D0"/>
    <w:styleLink w:val="List1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 w15:restartNumberingAfterBreak="0">
    <w:nsid w:val="187875FC"/>
    <w:multiLevelType w:val="multilevel"/>
    <w:tmpl w:val="08E81888"/>
    <w:styleLink w:val="List2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1" w15:restartNumberingAfterBreak="0">
    <w:nsid w:val="1D0911AC"/>
    <w:multiLevelType w:val="multilevel"/>
    <w:tmpl w:val="63148A86"/>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050"/>
        </w:tabs>
        <w:ind w:left="10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22" w15:restartNumberingAfterBreak="0">
    <w:nsid w:val="22DB540F"/>
    <w:multiLevelType w:val="multilevel"/>
    <w:tmpl w:val="17CE93DC"/>
    <w:styleLink w:val="List14"/>
    <w:lvl w:ilvl="0">
      <w:numFmt w:val="bullet"/>
      <w:lvlText w:val="•"/>
      <w:lvlJc w:val="left"/>
      <w:rPr>
        <w:rFonts w:ascii="Arial" w:eastAsia="Arial" w:hAnsi="Arial" w:cs="Arial"/>
        <w:i/>
        <w:iCs/>
        <w:position w:val="0"/>
        <w:lang w:val="en-US"/>
      </w:rPr>
    </w:lvl>
    <w:lvl w:ilvl="1">
      <w:start w:val="1"/>
      <w:numFmt w:val="lowerLetter"/>
      <w:lvlText w:val="%2."/>
      <w:lvlJc w:val="left"/>
      <w:rPr>
        <w:rFonts w:ascii="Arial" w:eastAsia="Arial" w:hAnsi="Arial" w:cs="Arial"/>
        <w:i/>
        <w:iCs/>
        <w:position w:val="0"/>
        <w:lang w:val="en-US"/>
      </w:rPr>
    </w:lvl>
    <w:lvl w:ilvl="2">
      <w:start w:val="1"/>
      <w:numFmt w:val="lowerRoman"/>
      <w:lvlText w:val="%3."/>
      <w:lvlJc w:val="left"/>
      <w:rPr>
        <w:rFonts w:ascii="Arial" w:eastAsia="Arial" w:hAnsi="Arial" w:cs="Arial"/>
        <w:i/>
        <w:iCs/>
        <w:position w:val="0"/>
        <w:lang w:val="en-US"/>
      </w:rPr>
    </w:lvl>
    <w:lvl w:ilvl="3">
      <w:start w:val="1"/>
      <w:numFmt w:val="decimal"/>
      <w:lvlText w:val="%4."/>
      <w:lvlJc w:val="left"/>
      <w:rPr>
        <w:rFonts w:ascii="Arial" w:eastAsia="Arial" w:hAnsi="Arial" w:cs="Arial"/>
        <w:i/>
        <w:iCs/>
        <w:position w:val="0"/>
        <w:lang w:val="en-US"/>
      </w:rPr>
    </w:lvl>
    <w:lvl w:ilvl="4">
      <w:start w:val="1"/>
      <w:numFmt w:val="lowerLetter"/>
      <w:lvlText w:val="%5."/>
      <w:lvlJc w:val="left"/>
      <w:rPr>
        <w:rFonts w:ascii="Arial" w:eastAsia="Arial" w:hAnsi="Arial" w:cs="Arial"/>
        <w:i/>
        <w:iCs/>
        <w:position w:val="0"/>
        <w:lang w:val="en-US"/>
      </w:rPr>
    </w:lvl>
    <w:lvl w:ilvl="5">
      <w:start w:val="1"/>
      <w:numFmt w:val="lowerRoman"/>
      <w:lvlText w:val="%6."/>
      <w:lvlJc w:val="left"/>
      <w:rPr>
        <w:rFonts w:ascii="Arial" w:eastAsia="Arial" w:hAnsi="Arial" w:cs="Arial"/>
        <w:i/>
        <w:iCs/>
        <w:position w:val="0"/>
        <w:lang w:val="en-US"/>
      </w:rPr>
    </w:lvl>
    <w:lvl w:ilvl="6">
      <w:start w:val="1"/>
      <w:numFmt w:val="decimal"/>
      <w:lvlText w:val="%7."/>
      <w:lvlJc w:val="left"/>
      <w:rPr>
        <w:rFonts w:ascii="Arial" w:eastAsia="Arial" w:hAnsi="Arial" w:cs="Arial"/>
        <w:i/>
        <w:iCs/>
        <w:position w:val="0"/>
        <w:lang w:val="en-US"/>
      </w:rPr>
    </w:lvl>
    <w:lvl w:ilvl="7">
      <w:start w:val="1"/>
      <w:numFmt w:val="lowerLetter"/>
      <w:lvlText w:val="%8."/>
      <w:lvlJc w:val="left"/>
      <w:rPr>
        <w:rFonts w:ascii="Arial" w:eastAsia="Arial" w:hAnsi="Arial" w:cs="Arial"/>
        <w:i/>
        <w:iCs/>
        <w:position w:val="0"/>
        <w:lang w:val="en-US"/>
      </w:rPr>
    </w:lvl>
    <w:lvl w:ilvl="8">
      <w:start w:val="1"/>
      <w:numFmt w:val="lowerRoman"/>
      <w:lvlText w:val="%9."/>
      <w:lvlJc w:val="left"/>
      <w:rPr>
        <w:rFonts w:ascii="Arial" w:eastAsia="Arial" w:hAnsi="Arial" w:cs="Arial"/>
        <w:i/>
        <w:iCs/>
        <w:position w:val="0"/>
        <w:lang w:val="en-US"/>
      </w:rPr>
    </w:lvl>
  </w:abstractNum>
  <w:abstractNum w:abstractNumId="23" w15:restartNumberingAfterBreak="0">
    <w:nsid w:val="265E2CBD"/>
    <w:multiLevelType w:val="hybridMultilevel"/>
    <w:tmpl w:val="256C2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27C205E3"/>
    <w:multiLevelType w:val="multilevel"/>
    <w:tmpl w:val="2B48B708"/>
    <w:styleLink w:val="List2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5" w15:restartNumberingAfterBreak="0">
    <w:nsid w:val="296D74F7"/>
    <w:multiLevelType w:val="hybridMultilevel"/>
    <w:tmpl w:val="D36C96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2B0D4AC1"/>
    <w:multiLevelType w:val="hybridMultilevel"/>
    <w:tmpl w:val="37786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B801BA7"/>
    <w:multiLevelType w:val="multilevel"/>
    <w:tmpl w:val="F250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2DA97796"/>
    <w:multiLevelType w:val="hybridMultilevel"/>
    <w:tmpl w:val="E9621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1A53284"/>
    <w:multiLevelType w:val="hybridMultilevel"/>
    <w:tmpl w:val="43B6F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AD06B7"/>
    <w:multiLevelType w:val="multilevel"/>
    <w:tmpl w:val="8E6AE440"/>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050"/>
        </w:tabs>
        <w:ind w:left="10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31" w15:restartNumberingAfterBreak="0">
    <w:nsid w:val="333B1CD0"/>
    <w:multiLevelType w:val="hybridMultilevel"/>
    <w:tmpl w:val="F7F89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47955AA"/>
    <w:multiLevelType w:val="multilevel"/>
    <w:tmpl w:val="3D0C805E"/>
    <w:lvl w:ilvl="0">
      <w:start w:val="1"/>
      <w:numFmt w:val="decimal"/>
      <w:lvlText w:val="%1."/>
      <w:lvlJc w:val="left"/>
      <w:pPr>
        <w:ind w:left="720" w:hanging="360"/>
      </w:pPr>
      <w:rPr>
        <w:rFonts w:hint="default"/>
        <w:sz w:val="32"/>
        <w:szCs w:val="3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3" w15:restartNumberingAfterBreak="0">
    <w:nsid w:val="36410E91"/>
    <w:multiLevelType w:val="multilevel"/>
    <w:tmpl w:val="F236BF8A"/>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050"/>
        </w:tabs>
        <w:ind w:left="10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34" w15:restartNumberingAfterBreak="0">
    <w:nsid w:val="366B6709"/>
    <w:multiLevelType w:val="hybridMultilevel"/>
    <w:tmpl w:val="4588C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38217C79"/>
    <w:multiLevelType w:val="multilevel"/>
    <w:tmpl w:val="12EC24E8"/>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050"/>
        </w:tabs>
        <w:ind w:left="10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36" w15:restartNumberingAfterBreak="0">
    <w:nsid w:val="39D73F27"/>
    <w:multiLevelType w:val="hybridMultilevel"/>
    <w:tmpl w:val="D6ECCE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41702D48"/>
    <w:multiLevelType w:val="hybridMultilevel"/>
    <w:tmpl w:val="9B5A3C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E63D05"/>
    <w:multiLevelType w:val="hybridMultilevel"/>
    <w:tmpl w:val="7744F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5EE08CE"/>
    <w:multiLevelType w:val="multilevel"/>
    <w:tmpl w:val="E9EC9DB6"/>
    <w:styleLink w:val="List17"/>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0" w15:restartNumberingAfterBreak="0">
    <w:nsid w:val="46EF091B"/>
    <w:multiLevelType w:val="hybridMultilevel"/>
    <w:tmpl w:val="00C4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88557BF"/>
    <w:multiLevelType w:val="hybridMultilevel"/>
    <w:tmpl w:val="FF2CE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D25707"/>
    <w:multiLevelType w:val="hybridMultilevel"/>
    <w:tmpl w:val="8ED63D1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9EC1560"/>
    <w:multiLevelType w:val="multilevel"/>
    <w:tmpl w:val="644C1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4A01458A"/>
    <w:multiLevelType w:val="multilevel"/>
    <w:tmpl w:val="177C799E"/>
    <w:styleLink w:val="List27"/>
    <w:lvl w:ilvl="0">
      <w:numFmt w:val="bullet"/>
      <w:lvlText w:val="➢"/>
      <w:lvlJc w:val="left"/>
      <w:rPr>
        <w:rFonts w:ascii="Arial" w:eastAsia="Arial" w:hAnsi="Arial" w:cs="Arial"/>
        <w:i/>
        <w:iCs/>
        <w:position w:val="0"/>
      </w:rPr>
    </w:lvl>
    <w:lvl w:ilvl="1">
      <w:start w:val="1"/>
      <w:numFmt w:val="bullet"/>
      <w:lvlText w:val="o"/>
      <w:lvlJc w:val="left"/>
      <w:rPr>
        <w:rFonts w:ascii="Arial" w:eastAsia="Arial" w:hAnsi="Arial" w:cs="Arial"/>
        <w:i/>
        <w:iCs/>
        <w:position w:val="0"/>
      </w:rPr>
    </w:lvl>
    <w:lvl w:ilvl="2">
      <w:start w:val="1"/>
      <w:numFmt w:val="bullet"/>
      <w:lvlText w:val="▪"/>
      <w:lvlJc w:val="left"/>
      <w:rPr>
        <w:rFonts w:ascii="Arial" w:eastAsia="Arial" w:hAnsi="Arial" w:cs="Arial"/>
        <w:i/>
        <w:iCs/>
        <w:position w:val="0"/>
      </w:rPr>
    </w:lvl>
    <w:lvl w:ilvl="3">
      <w:start w:val="1"/>
      <w:numFmt w:val="bullet"/>
      <w:lvlText w:val="•"/>
      <w:lvlJc w:val="left"/>
      <w:rPr>
        <w:rFonts w:ascii="Arial" w:eastAsia="Arial" w:hAnsi="Arial" w:cs="Arial"/>
        <w:i/>
        <w:iCs/>
        <w:position w:val="0"/>
      </w:rPr>
    </w:lvl>
    <w:lvl w:ilvl="4">
      <w:start w:val="1"/>
      <w:numFmt w:val="bullet"/>
      <w:lvlText w:val="o"/>
      <w:lvlJc w:val="left"/>
      <w:rPr>
        <w:rFonts w:ascii="Arial" w:eastAsia="Arial" w:hAnsi="Arial" w:cs="Arial"/>
        <w:i/>
        <w:iCs/>
        <w:position w:val="0"/>
      </w:rPr>
    </w:lvl>
    <w:lvl w:ilvl="5">
      <w:start w:val="1"/>
      <w:numFmt w:val="bullet"/>
      <w:lvlText w:val="▪"/>
      <w:lvlJc w:val="left"/>
      <w:rPr>
        <w:rFonts w:ascii="Arial" w:eastAsia="Arial" w:hAnsi="Arial" w:cs="Arial"/>
        <w:i/>
        <w:iCs/>
        <w:position w:val="0"/>
      </w:rPr>
    </w:lvl>
    <w:lvl w:ilvl="6">
      <w:start w:val="1"/>
      <w:numFmt w:val="bullet"/>
      <w:lvlText w:val="•"/>
      <w:lvlJc w:val="left"/>
      <w:rPr>
        <w:rFonts w:ascii="Arial" w:eastAsia="Arial" w:hAnsi="Arial" w:cs="Arial"/>
        <w:i/>
        <w:iCs/>
        <w:position w:val="0"/>
      </w:rPr>
    </w:lvl>
    <w:lvl w:ilvl="7">
      <w:start w:val="1"/>
      <w:numFmt w:val="bullet"/>
      <w:lvlText w:val="o"/>
      <w:lvlJc w:val="left"/>
      <w:rPr>
        <w:rFonts w:ascii="Arial" w:eastAsia="Arial" w:hAnsi="Arial" w:cs="Arial"/>
        <w:i/>
        <w:iCs/>
        <w:position w:val="0"/>
      </w:rPr>
    </w:lvl>
    <w:lvl w:ilvl="8">
      <w:start w:val="1"/>
      <w:numFmt w:val="bullet"/>
      <w:lvlText w:val="▪"/>
      <w:lvlJc w:val="left"/>
      <w:rPr>
        <w:rFonts w:ascii="Arial" w:eastAsia="Arial" w:hAnsi="Arial" w:cs="Arial"/>
        <w:i/>
        <w:iCs/>
        <w:position w:val="0"/>
      </w:rPr>
    </w:lvl>
  </w:abstractNum>
  <w:abstractNum w:abstractNumId="45" w15:restartNumberingAfterBreak="0">
    <w:nsid w:val="4A210A79"/>
    <w:multiLevelType w:val="multilevel"/>
    <w:tmpl w:val="E070E8BE"/>
    <w:styleLink w:val="List12"/>
    <w:lvl w:ilvl="0">
      <w:numFmt w:val="bullet"/>
      <w:lvlText w:val="•"/>
      <w:lvlJc w:val="left"/>
      <w:pPr>
        <w:tabs>
          <w:tab w:val="num" w:pos="786"/>
        </w:tabs>
        <w:ind w:left="786" w:hanging="36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050"/>
        </w:tabs>
        <w:ind w:left="10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46" w15:restartNumberingAfterBreak="0">
    <w:nsid w:val="4BA06F1A"/>
    <w:multiLevelType w:val="multilevel"/>
    <w:tmpl w:val="F294DDD6"/>
    <w:styleLink w:val="List2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7" w15:restartNumberingAfterBreak="0">
    <w:nsid w:val="4C0A5162"/>
    <w:multiLevelType w:val="multilevel"/>
    <w:tmpl w:val="B290BB20"/>
    <w:styleLink w:val="List25"/>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8" w15:restartNumberingAfterBreak="0">
    <w:nsid w:val="4CBB7775"/>
    <w:multiLevelType w:val="multilevel"/>
    <w:tmpl w:val="20748170"/>
    <w:styleLink w:val="List13"/>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9" w15:restartNumberingAfterBreak="0">
    <w:nsid w:val="4D6E402D"/>
    <w:multiLevelType w:val="multilevel"/>
    <w:tmpl w:val="817630E6"/>
    <w:styleLink w:val="List31"/>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050"/>
        </w:tabs>
        <w:ind w:left="10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50" w15:restartNumberingAfterBreak="0">
    <w:nsid w:val="4DE92DC2"/>
    <w:multiLevelType w:val="multilevel"/>
    <w:tmpl w:val="307A3D02"/>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050"/>
        </w:tabs>
        <w:ind w:left="10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51" w15:restartNumberingAfterBreak="0">
    <w:nsid w:val="4F8E3FAB"/>
    <w:multiLevelType w:val="multilevel"/>
    <w:tmpl w:val="65B40E5A"/>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050"/>
        </w:tabs>
        <w:ind w:left="10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52" w15:restartNumberingAfterBreak="0">
    <w:nsid w:val="50E46F99"/>
    <w:multiLevelType w:val="hybridMultilevel"/>
    <w:tmpl w:val="3A4CD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3" w15:restartNumberingAfterBreak="0">
    <w:nsid w:val="515331CF"/>
    <w:multiLevelType w:val="multilevel"/>
    <w:tmpl w:val="062E8C1C"/>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050"/>
        </w:tabs>
        <w:ind w:left="10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54" w15:restartNumberingAfterBreak="0">
    <w:nsid w:val="54771554"/>
    <w:multiLevelType w:val="multilevel"/>
    <w:tmpl w:val="CFAC97F4"/>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050"/>
        </w:tabs>
        <w:ind w:left="10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55" w15:restartNumberingAfterBreak="0">
    <w:nsid w:val="56425D38"/>
    <w:multiLevelType w:val="multilevel"/>
    <w:tmpl w:val="F296E630"/>
    <w:styleLink w:val="List1"/>
    <w:lvl w:ilvl="0">
      <w:numFmt w:val="bullet"/>
      <w:lvlText w:val="•"/>
      <w:lvlJc w:val="left"/>
      <w:rPr>
        <w:position w:val="0"/>
        <w:lang w:val="en-US"/>
      </w:rPr>
    </w:lvl>
    <w:lvl w:ilvl="1">
      <w:start w:val="1"/>
      <w:numFmt w:val="bullet"/>
      <w:lvlText w:val="•"/>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
      <w:lvlJc w:val="left"/>
      <w:rPr>
        <w:position w:val="0"/>
        <w:lang w:val="en-US"/>
      </w:rPr>
    </w:lvl>
    <w:lvl w:ilvl="8">
      <w:start w:val="1"/>
      <w:numFmt w:val="bullet"/>
      <w:lvlText w:val="•"/>
      <w:lvlJc w:val="left"/>
      <w:rPr>
        <w:position w:val="0"/>
        <w:lang w:val="en-US"/>
      </w:rPr>
    </w:lvl>
  </w:abstractNum>
  <w:abstractNum w:abstractNumId="56" w15:restartNumberingAfterBreak="0">
    <w:nsid w:val="56B77ED7"/>
    <w:multiLevelType w:val="hybridMultilevel"/>
    <w:tmpl w:val="8B1ACD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77161E5"/>
    <w:multiLevelType w:val="multilevel"/>
    <w:tmpl w:val="B09AA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5832468A"/>
    <w:multiLevelType w:val="hybridMultilevel"/>
    <w:tmpl w:val="B1BC1B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93514BD"/>
    <w:multiLevelType w:val="multilevel"/>
    <w:tmpl w:val="3D0C805E"/>
    <w:lvl w:ilvl="0">
      <w:start w:val="1"/>
      <w:numFmt w:val="decimal"/>
      <w:lvlText w:val="%1."/>
      <w:lvlJc w:val="left"/>
      <w:pPr>
        <w:ind w:left="720" w:hanging="360"/>
      </w:pPr>
      <w:rPr>
        <w:rFonts w:hint="default"/>
        <w:sz w:val="32"/>
        <w:szCs w:val="36"/>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0" w15:restartNumberingAfterBreak="0">
    <w:nsid w:val="59D21C89"/>
    <w:multiLevelType w:val="multilevel"/>
    <w:tmpl w:val="BDEC8A7C"/>
    <w:styleLink w:val="List1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1" w15:restartNumberingAfterBreak="0">
    <w:nsid w:val="5A0E1A71"/>
    <w:multiLevelType w:val="multilevel"/>
    <w:tmpl w:val="33B62580"/>
    <w:styleLink w:val="List24"/>
    <w:lvl w:ilvl="0">
      <w:numFmt w:val="bullet"/>
      <w:lvlText w:val="➢"/>
      <w:lvlJc w:val="left"/>
      <w:rPr>
        <w:rFonts w:ascii="Arial" w:eastAsia="Arial" w:hAnsi="Arial" w:cs="Arial"/>
        <w:i/>
        <w:iCs/>
        <w:position w:val="0"/>
      </w:rPr>
    </w:lvl>
    <w:lvl w:ilvl="1">
      <w:start w:val="1"/>
      <w:numFmt w:val="bullet"/>
      <w:lvlText w:val="o"/>
      <w:lvlJc w:val="left"/>
      <w:rPr>
        <w:rFonts w:ascii="Arial" w:eastAsia="Arial" w:hAnsi="Arial" w:cs="Arial"/>
        <w:i/>
        <w:iCs/>
        <w:position w:val="0"/>
      </w:rPr>
    </w:lvl>
    <w:lvl w:ilvl="2">
      <w:start w:val="1"/>
      <w:numFmt w:val="bullet"/>
      <w:lvlText w:val="▪"/>
      <w:lvlJc w:val="left"/>
      <w:rPr>
        <w:rFonts w:ascii="Arial" w:eastAsia="Arial" w:hAnsi="Arial" w:cs="Arial"/>
        <w:i/>
        <w:iCs/>
        <w:position w:val="0"/>
      </w:rPr>
    </w:lvl>
    <w:lvl w:ilvl="3">
      <w:start w:val="1"/>
      <w:numFmt w:val="bullet"/>
      <w:lvlText w:val="•"/>
      <w:lvlJc w:val="left"/>
      <w:rPr>
        <w:rFonts w:ascii="Arial" w:eastAsia="Arial" w:hAnsi="Arial" w:cs="Arial"/>
        <w:i/>
        <w:iCs/>
        <w:position w:val="0"/>
      </w:rPr>
    </w:lvl>
    <w:lvl w:ilvl="4">
      <w:start w:val="1"/>
      <w:numFmt w:val="bullet"/>
      <w:lvlText w:val="o"/>
      <w:lvlJc w:val="left"/>
      <w:rPr>
        <w:rFonts w:ascii="Arial" w:eastAsia="Arial" w:hAnsi="Arial" w:cs="Arial"/>
        <w:i/>
        <w:iCs/>
        <w:position w:val="0"/>
      </w:rPr>
    </w:lvl>
    <w:lvl w:ilvl="5">
      <w:start w:val="1"/>
      <w:numFmt w:val="bullet"/>
      <w:lvlText w:val="▪"/>
      <w:lvlJc w:val="left"/>
      <w:rPr>
        <w:rFonts w:ascii="Arial" w:eastAsia="Arial" w:hAnsi="Arial" w:cs="Arial"/>
        <w:i/>
        <w:iCs/>
        <w:position w:val="0"/>
      </w:rPr>
    </w:lvl>
    <w:lvl w:ilvl="6">
      <w:start w:val="1"/>
      <w:numFmt w:val="bullet"/>
      <w:lvlText w:val="•"/>
      <w:lvlJc w:val="left"/>
      <w:rPr>
        <w:rFonts w:ascii="Arial" w:eastAsia="Arial" w:hAnsi="Arial" w:cs="Arial"/>
        <w:i/>
        <w:iCs/>
        <w:position w:val="0"/>
      </w:rPr>
    </w:lvl>
    <w:lvl w:ilvl="7">
      <w:start w:val="1"/>
      <w:numFmt w:val="bullet"/>
      <w:lvlText w:val="o"/>
      <w:lvlJc w:val="left"/>
      <w:rPr>
        <w:rFonts w:ascii="Arial" w:eastAsia="Arial" w:hAnsi="Arial" w:cs="Arial"/>
        <w:i/>
        <w:iCs/>
        <w:position w:val="0"/>
      </w:rPr>
    </w:lvl>
    <w:lvl w:ilvl="8">
      <w:start w:val="1"/>
      <w:numFmt w:val="bullet"/>
      <w:lvlText w:val="▪"/>
      <w:lvlJc w:val="left"/>
      <w:rPr>
        <w:rFonts w:ascii="Arial" w:eastAsia="Arial" w:hAnsi="Arial" w:cs="Arial"/>
        <w:i/>
        <w:iCs/>
        <w:position w:val="0"/>
      </w:rPr>
    </w:lvl>
  </w:abstractNum>
  <w:abstractNum w:abstractNumId="62" w15:restartNumberingAfterBreak="0">
    <w:nsid w:val="5A5E248D"/>
    <w:multiLevelType w:val="multilevel"/>
    <w:tmpl w:val="BA56154A"/>
    <w:styleLink w:val="List6"/>
    <w:lvl w:ilvl="0">
      <w:numFmt w:val="bullet"/>
      <w:lvlText w:val="•"/>
      <w:lvlJc w:val="left"/>
      <w:pPr>
        <w:tabs>
          <w:tab w:val="num" w:pos="753"/>
        </w:tabs>
        <w:ind w:left="753" w:hanging="393"/>
      </w:pPr>
      <w:rPr>
        <w:position w:val="0"/>
        <w:sz w:val="22"/>
        <w:szCs w:val="22"/>
      </w:rPr>
    </w:lvl>
    <w:lvl w:ilvl="1">
      <w:start w:val="1"/>
      <w:numFmt w:val="bullet"/>
      <w:lvlText w:val="o"/>
      <w:lvlJc w:val="left"/>
      <w:pPr>
        <w:tabs>
          <w:tab w:val="num" w:pos="1440"/>
        </w:tabs>
        <w:ind w:left="1440" w:hanging="360"/>
      </w:pPr>
      <w:rPr>
        <w:position w:val="0"/>
        <w:sz w:val="24"/>
        <w:szCs w:val="24"/>
      </w:rPr>
    </w:lvl>
    <w:lvl w:ilvl="2">
      <w:start w:val="1"/>
      <w:numFmt w:val="bullet"/>
      <w:lvlText w:val="▪"/>
      <w:lvlJc w:val="left"/>
      <w:pPr>
        <w:tabs>
          <w:tab w:val="num" w:pos="2160"/>
        </w:tabs>
        <w:ind w:left="2160" w:hanging="360"/>
      </w:pPr>
      <w:rPr>
        <w:position w:val="0"/>
        <w:sz w:val="24"/>
        <w:szCs w:val="24"/>
      </w:rPr>
    </w:lvl>
    <w:lvl w:ilvl="3">
      <w:start w:val="1"/>
      <w:numFmt w:val="bullet"/>
      <w:lvlText w:val="•"/>
      <w:lvlJc w:val="left"/>
      <w:pPr>
        <w:tabs>
          <w:tab w:val="num" w:pos="2880"/>
        </w:tabs>
        <w:ind w:left="2880" w:hanging="360"/>
      </w:pPr>
      <w:rPr>
        <w:position w:val="0"/>
        <w:sz w:val="24"/>
        <w:szCs w:val="24"/>
      </w:rPr>
    </w:lvl>
    <w:lvl w:ilvl="4">
      <w:start w:val="1"/>
      <w:numFmt w:val="bullet"/>
      <w:lvlText w:val="o"/>
      <w:lvlJc w:val="left"/>
      <w:pPr>
        <w:tabs>
          <w:tab w:val="num" w:pos="3600"/>
        </w:tabs>
        <w:ind w:left="3600" w:hanging="360"/>
      </w:pPr>
      <w:rPr>
        <w:position w:val="0"/>
        <w:sz w:val="24"/>
        <w:szCs w:val="24"/>
      </w:rPr>
    </w:lvl>
    <w:lvl w:ilvl="5">
      <w:start w:val="1"/>
      <w:numFmt w:val="bullet"/>
      <w:lvlText w:val="▪"/>
      <w:lvlJc w:val="left"/>
      <w:pPr>
        <w:tabs>
          <w:tab w:val="num" w:pos="4320"/>
        </w:tabs>
        <w:ind w:left="4320" w:hanging="360"/>
      </w:pPr>
      <w:rPr>
        <w:position w:val="0"/>
        <w:sz w:val="24"/>
        <w:szCs w:val="24"/>
      </w:rPr>
    </w:lvl>
    <w:lvl w:ilvl="6">
      <w:start w:val="1"/>
      <w:numFmt w:val="bullet"/>
      <w:lvlText w:val="•"/>
      <w:lvlJc w:val="left"/>
      <w:pPr>
        <w:tabs>
          <w:tab w:val="num" w:pos="5040"/>
        </w:tabs>
        <w:ind w:left="5040" w:hanging="360"/>
      </w:pPr>
      <w:rPr>
        <w:position w:val="0"/>
        <w:sz w:val="24"/>
        <w:szCs w:val="24"/>
      </w:rPr>
    </w:lvl>
    <w:lvl w:ilvl="7">
      <w:start w:val="1"/>
      <w:numFmt w:val="bullet"/>
      <w:lvlText w:val="o"/>
      <w:lvlJc w:val="left"/>
      <w:pPr>
        <w:tabs>
          <w:tab w:val="num" w:pos="5760"/>
        </w:tabs>
        <w:ind w:left="5760" w:hanging="360"/>
      </w:pPr>
      <w:rPr>
        <w:position w:val="0"/>
        <w:sz w:val="24"/>
        <w:szCs w:val="24"/>
      </w:rPr>
    </w:lvl>
    <w:lvl w:ilvl="8">
      <w:start w:val="1"/>
      <w:numFmt w:val="bullet"/>
      <w:lvlText w:val="▪"/>
      <w:lvlJc w:val="left"/>
      <w:pPr>
        <w:tabs>
          <w:tab w:val="num" w:pos="6480"/>
        </w:tabs>
        <w:ind w:left="6480" w:hanging="360"/>
      </w:pPr>
      <w:rPr>
        <w:position w:val="0"/>
        <w:sz w:val="24"/>
        <w:szCs w:val="24"/>
      </w:rPr>
    </w:lvl>
  </w:abstractNum>
  <w:abstractNum w:abstractNumId="63" w15:restartNumberingAfterBreak="0">
    <w:nsid w:val="5D4E463E"/>
    <w:multiLevelType w:val="multilevel"/>
    <w:tmpl w:val="F530BD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63FA47EE"/>
    <w:multiLevelType w:val="multilevel"/>
    <w:tmpl w:val="6824C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5" w15:restartNumberingAfterBreak="0">
    <w:nsid w:val="64FB34C9"/>
    <w:multiLevelType w:val="multilevel"/>
    <w:tmpl w:val="922291AE"/>
    <w:styleLink w:val="List8"/>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66" w15:restartNumberingAfterBreak="0">
    <w:nsid w:val="6605267D"/>
    <w:multiLevelType w:val="multilevel"/>
    <w:tmpl w:val="91A85ECE"/>
    <w:styleLink w:val="List22"/>
    <w:lvl w:ilvl="0">
      <w:start w:val="1"/>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7" w15:restartNumberingAfterBreak="0">
    <w:nsid w:val="672B310A"/>
    <w:multiLevelType w:val="multilevel"/>
    <w:tmpl w:val="FC8ADA0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8" w15:restartNumberingAfterBreak="0">
    <w:nsid w:val="6B944D1B"/>
    <w:multiLevelType w:val="multilevel"/>
    <w:tmpl w:val="9110C060"/>
    <w:styleLink w:val="List15"/>
    <w:lvl w:ilvl="0">
      <w:numFmt w:val="bullet"/>
      <w:lvlText w:val="•"/>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69" w15:restartNumberingAfterBreak="0">
    <w:nsid w:val="6F346A0D"/>
    <w:multiLevelType w:val="multilevel"/>
    <w:tmpl w:val="A2763834"/>
    <w:styleLink w:val="List1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70" w15:restartNumberingAfterBreak="0">
    <w:nsid w:val="74E07DCC"/>
    <w:multiLevelType w:val="multilevel"/>
    <w:tmpl w:val="AF524AF0"/>
    <w:styleLink w:val="List41"/>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050"/>
        </w:tabs>
        <w:ind w:left="10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71" w15:restartNumberingAfterBreak="0">
    <w:nsid w:val="75B55FEC"/>
    <w:multiLevelType w:val="multilevel"/>
    <w:tmpl w:val="46242944"/>
    <w:styleLink w:val="List23"/>
    <w:lvl w:ilvl="0">
      <w:numFmt w:val="bullet"/>
      <w:lvlText w:val="➢"/>
      <w:lvlJc w:val="left"/>
      <w:rPr>
        <w:rFonts w:ascii="Arial" w:eastAsia="Arial" w:hAnsi="Arial" w:cs="Arial"/>
        <w:i/>
        <w:iCs/>
        <w:position w:val="0"/>
      </w:rPr>
    </w:lvl>
    <w:lvl w:ilvl="1">
      <w:start w:val="1"/>
      <w:numFmt w:val="bullet"/>
      <w:lvlText w:val="o"/>
      <w:lvlJc w:val="left"/>
      <w:rPr>
        <w:rFonts w:ascii="Arial" w:eastAsia="Arial" w:hAnsi="Arial" w:cs="Arial"/>
        <w:i/>
        <w:iCs/>
        <w:position w:val="0"/>
      </w:rPr>
    </w:lvl>
    <w:lvl w:ilvl="2">
      <w:start w:val="1"/>
      <w:numFmt w:val="bullet"/>
      <w:lvlText w:val="▪"/>
      <w:lvlJc w:val="left"/>
      <w:rPr>
        <w:rFonts w:ascii="Arial" w:eastAsia="Arial" w:hAnsi="Arial" w:cs="Arial"/>
        <w:i/>
        <w:iCs/>
        <w:position w:val="0"/>
      </w:rPr>
    </w:lvl>
    <w:lvl w:ilvl="3">
      <w:start w:val="1"/>
      <w:numFmt w:val="bullet"/>
      <w:lvlText w:val="•"/>
      <w:lvlJc w:val="left"/>
      <w:rPr>
        <w:rFonts w:ascii="Arial" w:eastAsia="Arial" w:hAnsi="Arial" w:cs="Arial"/>
        <w:i/>
        <w:iCs/>
        <w:position w:val="0"/>
      </w:rPr>
    </w:lvl>
    <w:lvl w:ilvl="4">
      <w:start w:val="1"/>
      <w:numFmt w:val="bullet"/>
      <w:lvlText w:val="o"/>
      <w:lvlJc w:val="left"/>
      <w:rPr>
        <w:rFonts w:ascii="Arial" w:eastAsia="Arial" w:hAnsi="Arial" w:cs="Arial"/>
        <w:i/>
        <w:iCs/>
        <w:position w:val="0"/>
      </w:rPr>
    </w:lvl>
    <w:lvl w:ilvl="5">
      <w:start w:val="1"/>
      <w:numFmt w:val="bullet"/>
      <w:lvlText w:val="▪"/>
      <w:lvlJc w:val="left"/>
      <w:rPr>
        <w:rFonts w:ascii="Arial" w:eastAsia="Arial" w:hAnsi="Arial" w:cs="Arial"/>
        <w:i/>
        <w:iCs/>
        <w:position w:val="0"/>
      </w:rPr>
    </w:lvl>
    <w:lvl w:ilvl="6">
      <w:start w:val="1"/>
      <w:numFmt w:val="bullet"/>
      <w:lvlText w:val="•"/>
      <w:lvlJc w:val="left"/>
      <w:rPr>
        <w:rFonts w:ascii="Arial" w:eastAsia="Arial" w:hAnsi="Arial" w:cs="Arial"/>
        <w:i/>
        <w:iCs/>
        <w:position w:val="0"/>
      </w:rPr>
    </w:lvl>
    <w:lvl w:ilvl="7">
      <w:start w:val="1"/>
      <w:numFmt w:val="bullet"/>
      <w:lvlText w:val="o"/>
      <w:lvlJc w:val="left"/>
      <w:rPr>
        <w:rFonts w:ascii="Arial" w:eastAsia="Arial" w:hAnsi="Arial" w:cs="Arial"/>
        <w:i/>
        <w:iCs/>
        <w:position w:val="0"/>
      </w:rPr>
    </w:lvl>
    <w:lvl w:ilvl="8">
      <w:start w:val="1"/>
      <w:numFmt w:val="bullet"/>
      <w:lvlText w:val="▪"/>
      <w:lvlJc w:val="left"/>
      <w:rPr>
        <w:rFonts w:ascii="Arial" w:eastAsia="Arial" w:hAnsi="Arial" w:cs="Arial"/>
        <w:i/>
        <w:iCs/>
        <w:position w:val="0"/>
      </w:rPr>
    </w:lvl>
  </w:abstractNum>
  <w:abstractNum w:abstractNumId="72" w15:restartNumberingAfterBreak="0">
    <w:nsid w:val="7610180A"/>
    <w:multiLevelType w:val="hybridMultilevel"/>
    <w:tmpl w:val="750017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6185493"/>
    <w:multiLevelType w:val="multilevel"/>
    <w:tmpl w:val="A120C19E"/>
    <w:styleLink w:val="List51"/>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050"/>
        </w:tabs>
        <w:ind w:left="10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74" w15:restartNumberingAfterBreak="0">
    <w:nsid w:val="762422B5"/>
    <w:multiLevelType w:val="hybridMultilevel"/>
    <w:tmpl w:val="5F4C5C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5" w15:restartNumberingAfterBreak="0">
    <w:nsid w:val="770834F6"/>
    <w:multiLevelType w:val="multilevel"/>
    <w:tmpl w:val="FEC0B152"/>
    <w:lvl w:ilvl="0">
      <w:numFmt w:val="bullet"/>
      <w:lvlText w:val="•"/>
      <w:lvlJc w:val="left"/>
      <w:pPr>
        <w:tabs>
          <w:tab w:val="num" w:pos="360"/>
        </w:tabs>
        <w:ind w:left="360" w:hanging="36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1">
      <w:start w:val="1"/>
      <w:numFmt w:val="bullet"/>
      <w:lvlText w:val="o"/>
      <w:lvlJc w:val="left"/>
      <w:pPr>
        <w:tabs>
          <w:tab w:val="num" w:pos="1050"/>
        </w:tabs>
        <w:ind w:left="10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2">
      <w:start w:val="1"/>
      <w:numFmt w:val="bullet"/>
      <w:lvlText w:val="▪"/>
      <w:lvlJc w:val="left"/>
      <w:pPr>
        <w:tabs>
          <w:tab w:val="num" w:pos="1770"/>
        </w:tabs>
        <w:ind w:left="17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3">
      <w:start w:val="1"/>
      <w:numFmt w:val="bullet"/>
      <w:lvlText w:val="•"/>
      <w:lvlJc w:val="left"/>
      <w:pPr>
        <w:tabs>
          <w:tab w:val="num" w:pos="2490"/>
        </w:tabs>
        <w:ind w:left="24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4">
      <w:start w:val="1"/>
      <w:numFmt w:val="bullet"/>
      <w:lvlText w:val="o"/>
      <w:lvlJc w:val="left"/>
      <w:pPr>
        <w:tabs>
          <w:tab w:val="num" w:pos="3210"/>
        </w:tabs>
        <w:ind w:left="321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5">
      <w:start w:val="1"/>
      <w:numFmt w:val="bullet"/>
      <w:lvlText w:val="▪"/>
      <w:lvlJc w:val="left"/>
      <w:pPr>
        <w:tabs>
          <w:tab w:val="num" w:pos="3930"/>
        </w:tabs>
        <w:ind w:left="393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6">
      <w:start w:val="1"/>
      <w:numFmt w:val="bullet"/>
      <w:lvlText w:val="•"/>
      <w:lvlJc w:val="left"/>
      <w:pPr>
        <w:tabs>
          <w:tab w:val="num" w:pos="4650"/>
        </w:tabs>
        <w:ind w:left="465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7">
      <w:start w:val="1"/>
      <w:numFmt w:val="bullet"/>
      <w:lvlText w:val="o"/>
      <w:lvlJc w:val="left"/>
      <w:pPr>
        <w:tabs>
          <w:tab w:val="num" w:pos="5370"/>
        </w:tabs>
        <w:ind w:left="537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lvl w:ilvl="8">
      <w:start w:val="1"/>
      <w:numFmt w:val="bullet"/>
      <w:lvlText w:val="▪"/>
      <w:lvlJc w:val="left"/>
      <w:pPr>
        <w:tabs>
          <w:tab w:val="num" w:pos="6090"/>
        </w:tabs>
        <w:ind w:left="6090" w:hanging="330"/>
      </w:pPr>
      <w:rPr>
        <w:rFonts w:ascii="Arial" w:eastAsia="Arial" w:hAnsi="Arial" w:cs="Arial"/>
        <w:caps w:val="0"/>
        <w:smallCaps w:val="0"/>
        <w:strike w:val="0"/>
        <w:dstrike w:val="0"/>
        <w:color w:val="000000"/>
        <w:spacing w:val="0"/>
        <w:kern w:val="0"/>
        <w:position w:val="0"/>
        <w:sz w:val="22"/>
        <w:szCs w:val="22"/>
        <w:u w:val="none" w:color="000000"/>
        <w:vertAlign w:val="baseline"/>
        <w:lang w:val="en-US"/>
      </w:rPr>
    </w:lvl>
  </w:abstractNum>
  <w:abstractNum w:abstractNumId="76" w15:restartNumberingAfterBreak="0">
    <w:nsid w:val="7EAA0137"/>
    <w:multiLevelType w:val="multilevel"/>
    <w:tmpl w:val="902459B6"/>
    <w:styleLink w:val="List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abstractNumId w:val="26"/>
  </w:num>
  <w:num w:numId="2">
    <w:abstractNumId w:val="40"/>
  </w:num>
  <w:num w:numId="3">
    <w:abstractNumId w:val="18"/>
  </w:num>
  <w:num w:numId="4">
    <w:abstractNumId w:val="59"/>
  </w:num>
  <w:num w:numId="5">
    <w:abstractNumId w:val="29"/>
  </w:num>
  <w:num w:numId="6">
    <w:abstractNumId w:val="76"/>
  </w:num>
  <w:num w:numId="7">
    <w:abstractNumId w:val="55"/>
  </w:num>
  <w:num w:numId="8">
    <w:abstractNumId w:val="64"/>
  </w:num>
  <w:num w:numId="9">
    <w:abstractNumId w:val="57"/>
  </w:num>
  <w:num w:numId="10">
    <w:abstractNumId w:val="27"/>
  </w:num>
  <w:num w:numId="11">
    <w:abstractNumId w:val="43"/>
  </w:num>
  <w:num w:numId="12">
    <w:abstractNumId w:val="25"/>
  </w:num>
  <w:num w:numId="13">
    <w:abstractNumId w:val="41"/>
  </w:num>
  <w:num w:numId="14">
    <w:abstractNumId w:val="75"/>
  </w:num>
  <w:num w:numId="15">
    <w:abstractNumId w:val="21"/>
  </w:num>
  <w:num w:numId="16">
    <w:abstractNumId w:val="49"/>
  </w:num>
  <w:num w:numId="17">
    <w:abstractNumId w:val="35"/>
  </w:num>
  <w:num w:numId="18">
    <w:abstractNumId w:val="15"/>
  </w:num>
  <w:num w:numId="19">
    <w:abstractNumId w:val="4"/>
  </w:num>
  <w:num w:numId="20">
    <w:abstractNumId w:val="50"/>
  </w:num>
  <w:num w:numId="21">
    <w:abstractNumId w:val="70"/>
  </w:num>
  <w:num w:numId="22">
    <w:abstractNumId w:val="33"/>
  </w:num>
  <w:num w:numId="23">
    <w:abstractNumId w:val="54"/>
  </w:num>
  <w:num w:numId="24">
    <w:abstractNumId w:val="73"/>
  </w:num>
  <w:num w:numId="25">
    <w:abstractNumId w:val="62"/>
  </w:num>
  <w:num w:numId="26">
    <w:abstractNumId w:val="16"/>
  </w:num>
  <w:num w:numId="27">
    <w:abstractNumId w:val="65"/>
  </w:num>
  <w:num w:numId="28">
    <w:abstractNumId w:val="14"/>
  </w:num>
  <w:num w:numId="29">
    <w:abstractNumId w:val="30"/>
  </w:num>
  <w:num w:numId="30">
    <w:abstractNumId w:val="5"/>
  </w:num>
  <w:num w:numId="31">
    <w:abstractNumId w:val="53"/>
  </w:num>
  <w:num w:numId="32">
    <w:abstractNumId w:val="51"/>
  </w:num>
  <w:num w:numId="33">
    <w:abstractNumId w:val="7"/>
  </w:num>
  <w:num w:numId="34">
    <w:abstractNumId w:val="6"/>
  </w:num>
  <w:num w:numId="35">
    <w:abstractNumId w:val="45"/>
  </w:num>
  <w:num w:numId="36">
    <w:abstractNumId w:val="22"/>
  </w:num>
  <w:num w:numId="37">
    <w:abstractNumId w:val="68"/>
  </w:num>
  <w:num w:numId="38">
    <w:abstractNumId w:val="60"/>
  </w:num>
  <w:num w:numId="39">
    <w:abstractNumId w:val="39"/>
  </w:num>
  <w:num w:numId="40">
    <w:abstractNumId w:val="19"/>
  </w:num>
  <w:num w:numId="41">
    <w:abstractNumId w:val="69"/>
  </w:num>
  <w:num w:numId="42">
    <w:abstractNumId w:val="20"/>
  </w:num>
  <w:num w:numId="43">
    <w:abstractNumId w:val="12"/>
  </w:num>
  <w:num w:numId="44">
    <w:abstractNumId w:val="66"/>
  </w:num>
  <w:num w:numId="45">
    <w:abstractNumId w:val="71"/>
  </w:num>
  <w:num w:numId="46">
    <w:abstractNumId w:val="61"/>
  </w:num>
  <w:num w:numId="47">
    <w:abstractNumId w:val="48"/>
  </w:num>
  <w:num w:numId="48">
    <w:abstractNumId w:val="47"/>
  </w:num>
  <w:num w:numId="49">
    <w:abstractNumId w:val="24"/>
  </w:num>
  <w:num w:numId="50">
    <w:abstractNumId w:val="44"/>
  </w:num>
  <w:num w:numId="51">
    <w:abstractNumId w:val="46"/>
  </w:num>
  <w:num w:numId="52">
    <w:abstractNumId w:val="3"/>
  </w:num>
  <w:num w:numId="53">
    <w:abstractNumId w:val="8"/>
  </w:num>
  <w:num w:numId="54">
    <w:abstractNumId w:val="28"/>
  </w:num>
  <w:num w:numId="55">
    <w:abstractNumId w:val="72"/>
  </w:num>
  <w:num w:numId="56">
    <w:abstractNumId w:val="42"/>
  </w:num>
  <w:num w:numId="57">
    <w:abstractNumId w:val="38"/>
  </w:num>
  <w:num w:numId="58">
    <w:abstractNumId w:val="2"/>
  </w:num>
  <w:num w:numId="59">
    <w:abstractNumId w:val="11"/>
  </w:num>
  <w:num w:numId="60">
    <w:abstractNumId w:val="1"/>
  </w:num>
  <w:num w:numId="61">
    <w:abstractNumId w:val="9"/>
  </w:num>
  <w:num w:numId="62">
    <w:abstractNumId w:val="31"/>
  </w:num>
  <w:num w:numId="63">
    <w:abstractNumId w:val="36"/>
  </w:num>
  <w:num w:numId="64">
    <w:abstractNumId w:val="52"/>
  </w:num>
  <w:num w:numId="65">
    <w:abstractNumId w:val="56"/>
  </w:num>
  <w:num w:numId="66">
    <w:abstractNumId w:val="23"/>
  </w:num>
  <w:num w:numId="67">
    <w:abstractNumId w:val="10"/>
  </w:num>
  <w:num w:numId="68">
    <w:abstractNumId w:val="34"/>
  </w:num>
  <w:num w:numId="69">
    <w:abstractNumId w:val="58"/>
  </w:num>
  <w:num w:numId="70">
    <w:abstractNumId w:val="13"/>
  </w:num>
  <w:num w:numId="71">
    <w:abstractNumId w:val="74"/>
  </w:num>
  <w:num w:numId="72">
    <w:abstractNumId w:val="0"/>
  </w:num>
  <w:num w:numId="73">
    <w:abstractNumId w:val="17"/>
  </w:num>
  <w:num w:numId="74">
    <w:abstractNumId w:val="37"/>
  </w:num>
  <w:num w:numId="75">
    <w:abstractNumId w:val="32"/>
  </w:num>
  <w:num w:numId="76">
    <w:abstractNumId w:val="63"/>
  </w:num>
  <w:num w:numId="77">
    <w:abstractNumId w:val="67"/>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7BE6"/>
    <w:rsid w:val="00001E48"/>
    <w:rsid w:val="000021DB"/>
    <w:rsid w:val="00003A37"/>
    <w:rsid w:val="000044F5"/>
    <w:rsid w:val="00006B3F"/>
    <w:rsid w:val="00010730"/>
    <w:rsid w:val="00014EE9"/>
    <w:rsid w:val="000212FC"/>
    <w:rsid w:val="00021D95"/>
    <w:rsid w:val="000221BF"/>
    <w:rsid w:val="00024372"/>
    <w:rsid w:val="00025098"/>
    <w:rsid w:val="00031BCF"/>
    <w:rsid w:val="00041C88"/>
    <w:rsid w:val="00043976"/>
    <w:rsid w:val="00051188"/>
    <w:rsid w:val="00052F3B"/>
    <w:rsid w:val="000558AD"/>
    <w:rsid w:val="00062F1D"/>
    <w:rsid w:val="00070A42"/>
    <w:rsid w:val="000715D4"/>
    <w:rsid w:val="00073C13"/>
    <w:rsid w:val="00073D89"/>
    <w:rsid w:val="000747BC"/>
    <w:rsid w:val="00074F27"/>
    <w:rsid w:val="000765FE"/>
    <w:rsid w:val="00083705"/>
    <w:rsid w:val="00087505"/>
    <w:rsid w:val="00091BA4"/>
    <w:rsid w:val="000957CA"/>
    <w:rsid w:val="000A0AE9"/>
    <w:rsid w:val="000A1D18"/>
    <w:rsid w:val="000A273A"/>
    <w:rsid w:val="000C0C4C"/>
    <w:rsid w:val="000C14A0"/>
    <w:rsid w:val="000C258F"/>
    <w:rsid w:val="000C47CE"/>
    <w:rsid w:val="000C5871"/>
    <w:rsid w:val="000C591C"/>
    <w:rsid w:val="000D12D1"/>
    <w:rsid w:val="000D1A25"/>
    <w:rsid w:val="000D1DF6"/>
    <w:rsid w:val="000D51C5"/>
    <w:rsid w:val="000D7499"/>
    <w:rsid w:val="000E0DE0"/>
    <w:rsid w:val="000E4213"/>
    <w:rsid w:val="000E6B31"/>
    <w:rsid w:val="000F4E79"/>
    <w:rsid w:val="000F652E"/>
    <w:rsid w:val="00103228"/>
    <w:rsid w:val="00105397"/>
    <w:rsid w:val="00110A2C"/>
    <w:rsid w:val="00111DA5"/>
    <w:rsid w:val="00120D2D"/>
    <w:rsid w:val="00121F63"/>
    <w:rsid w:val="001228E0"/>
    <w:rsid w:val="0013095E"/>
    <w:rsid w:val="00132148"/>
    <w:rsid w:val="00140273"/>
    <w:rsid w:val="00140A25"/>
    <w:rsid w:val="00143E62"/>
    <w:rsid w:val="00144A10"/>
    <w:rsid w:val="001472B5"/>
    <w:rsid w:val="00150D99"/>
    <w:rsid w:val="001553BD"/>
    <w:rsid w:val="00163415"/>
    <w:rsid w:val="00171169"/>
    <w:rsid w:val="001720BE"/>
    <w:rsid w:val="001802C4"/>
    <w:rsid w:val="00180EAA"/>
    <w:rsid w:val="00185DDE"/>
    <w:rsid w:val="00187EA3"/>
    <w:rsid w:val="00190123"/>
    <w:rsid w:val="00192BA6"/>
    <w:rsid w:val="00197490"/>
    <w:rsid w:val="001A0021"/>
    <w:rsid w:val="001A03EF"/>
    <w:rsid w:val="001A3CF2"/>
    <w:rsid w:val="001B3937"/>
    <w:rsid w:val="001B51A4"/>
    <w:rsid w:val="001B5B3A"/>
    <w:rsid w:val="001B5CD7"/>
    <w:rsid w:val="001B6D2F"/>
    <w:rsid w:val="001B7222"/>
    <w:rsid w:val="001C26B7"/>
    <w:rsid w:val="001D1499"/>
    <w:rsid w:val="001D16DF"/>
    <w:rsid w:val="001D1D33"/>
    <w:rsid w:val="001E3F12"/>
    <w:rsid w:val="001E5A13"/>
    <w:rsid w:val="001E64B2"/>
    <w:rsid w:val="001E7279"/>
    <w:rsid w:val="001F3603"/>
    <w:rsid w:val="001F4A51"/>
    <w:rsid w:val="001F5F45"/>
    <w:rsid w:val="0020001F"/>
    <w:rsid w:val="00201ABF"/>
    <w:rsid w:val="00201EFE"/>
    <w:rsid w:val="0020302A"/>
    <w:rsid w:val="00204416"/>
    <w:rsid w:val="00204443"/>
    <w:rsid w:val="0020539B"/>
    <w:rsid w:val="00206342"/>
    <w:rsid w:val="002132B3"/>
    <w:rsid w:val="00214AAE"/>
    <w:rsid w:val="00216FAF"/>
    <w:rsid w:val="00226142"/>
    <w:rsid w:val="00230CFC"/>
    <w:rsid w:val="002340CB"/>
    <w:rsid w:val="00234541"/>
    <w:rsid w:val="002347A0"/>
    <w:rsid w:val="00244F51"/>
    <w:rsid w:val="0024715A"/>
    <w:rsid w:val="00251635"/>
    <w:rsid w:val="00256CB2"/>
    <w:rsid w:val="00260AB5"/>
    <w:rsid w:val="00264213"/>
    <w:rsid w:val="00277685"/>
    <w:rsid w:val="00291B1F"/>
    <w:rsid w:val="002A2E4C"/>
    <w:rsid w:val="002A51D5"/>
    <w:rsid w:val="002B126C"/>
    <w:rsid w:val="002B333E"/>
    <w:rsid w:val="002C136B"/>
    <w:rsid w:val="002C3FB6"/>
    <w:rsid w:val="002D4C9C"/>
    <w:rsid w:val="002D520D"/>
    <w:rsid w:val="002D6355"/>
    <w:rsid w:val="002D69C7"/>
    <w:rsid w:val="002E0ED3"/>
    <w:rsid w:val="002E7643"/>
    <w:rsid w:val="002F0F46"/>
    <w:rsid w:val="00302DD4"/>
    <w:rsid w:val="00305774"/>
    <w:rsid w:val="00313B9E"/>
    <w:rsid w:val="003159C0"/>
    <w:rsid w:val="00317406"/>
    <w:rsid w:val="00320A03"/>
    <w:rsid w:val="0032645D"/>
    <w:rsid w:val="00326471"/>
    <w:rsid w:val="00326BA7"/>
    <w:rsid w:val="00332774"/>
    <w:rsid w:val="00334F7A"/>
    <w:rsid w:val="00335A99"/>
    <w:rsid w:val="003369FE"/>
    <w:rsid w:val="00337453"/>
    <w:rsid w:val="00345D8E"/>
    <w:rsid w:val="003512E4"/>
    <w:rsid w:val="00352B52"/>
    <w:rsid w:val="00355343"/>
    <w:rsid w:val="00355733"/>
    <w:rsid w:val="0036180C"/>
    <w:rsid w:val="003673A7"/>
    <w:rsid w:val="00367930"/>
    <w:rsid w:val="003723DE"/>
    <w:rsid w:val="003726EE"/>
    <w:rsid w:val="00372AB3"/>
    <w:rsid w:val="00372AC5"/>
    <w:rsid w:val="003771EE"/>
    <w:rsid w:val="00381654"/>
    <w:rsid w:val="00382E47"/>
    <w:rsid w:val="00385F3A"/>
    <w:rsid w:val="003948A7"/>
    <w:rsid w:val="003972BA"/>
    <w:rsid w:val="003A0037"/>
    <w:rsid w:val="003A13B7"/>
    <w:rsid w:val="003A2492"/>
    <w:rsid w:val="003A5DA7"/>
    <w:rsid w:val="003B6955"/>
    <w:rsid w:val="003C0B09"/>
    <w:rsid w:val="003C1416"/>
    <w:rsid w:val="003C2592"/>
    <w:rsid w:val="003C4F1E"/>
    <w:rsid w:val="003C5EFB"/>
    <w:rsid w:val="003C61EF"/>
    <w:rsid w:val="003D10C0"/>
    <w:rsid w:val="003D6573"/>
    <w:rsid w:val="003E2F19"/>
    <w:rsid w:val="003E46E5"/>
    <w:rsid w:val="003E67A6"/>
    <w:rsid w:val="003F32CD"/>
    <w:rsid w:val="003F7D18"/>
    <w:rsid w:val="004005E0"/>
    <w:rsid w:val="00406C20"/>
    <w:rsid w:val="00411A10"/>
    <w:rsid w:val="004149DD"/>
    <w:rsid w:val="00414DB7"/>
    <w:rsid w:val="00416A79"/>
    <w:rsid w:val="00424763"/>
    <w:rsid w:val="004252AB"/>
    <w:rsid w:val="004304E3"/>
    <w:rsid w:val="00435F75"/>
    <w:rsid w:val="004361DD"/>
    <w:rsid w:val="00437964"/>
    <w:rsid w:val="00443D0E"/>
    <w:rsid w:val="0044561C"/>
    <w:rsid w:val="00450102"/>
    <w:rsid w:val="00457721"/>
    <w:rsid w:val="00460C1B"/>
    <w:rsid w:val="00462258"/>
    <w:rsid w:val="00464DD9"/>
    <w:rsid w:val="004737E2"/>
    <w:rsid w:val="0047568A"/>
    <w:rsid w:val="00475C0E"/>
    <w:rsid w:val="00482388"/>
    <w:rsid w:val="00482DAE"/>
    <w:rsid w:val="0048521D"/>
    <w:rsid w:val="00486EB9"/>
    <w:rsid w:val="004878D6"/>
    <w:rsid w:val="00495066"/>
    <w:rsid w:val="0049573E"/>
    <w:rsid w:val="004A07B4"/>
    <w:rsid w:val="004A1C7E"/>
    <w:rsid w:val="004A32FA"/>
    <w:rsid w:val="004A4817"/>
    <w:rsid w:val="004A4DEA"/>
    <w:rsid w:val="004A6C7D"/>
    <w:rsid w:val="004A7BE6"/>
    <w:rsid w:val="004B783B"/>
    <w:rsid w:val="004C2A00"/>
    <w:rsid w:val="004D1CCA"/>
    <w:rsid w:val="004D4D07"/>
    <w:rsid w:val="004E07D3"/>
    <w:rsid w:val="004E70C0"/>
    <w:rsid w:val="004F11FC"/>
    <w:rsid w:val="00504E43"/>
    <w:rsid w:val="00514D6B"/>
    <w:rsid w:val="00520302"/>
    <w:rsid w:val="005308EA"/>
    <w:rsid w:val="0053255E"/>
    <w:rsid w:val="00532B0B"/>
    <w:rsid w:val="00532E49"/>
    <w:rsid w:val="00533681"/>
    <w:rsid w:val="005337ED"/>
    <w:rsid w:val="005445F7"/>
    <w:rsid w:val="00544681"/>
    <w:rsid w:val="00550744"/>
    <w:rsid w:val="0055784B"/>
    <w:rsid w:val="00561904"/>
    <w:rsid w:val="00563FBA"/>
    <w:rsid w:val="00566992"/>
    <w:rsid w:val="005671EE"/>
    <w:rsid w:val="00571EB5"/>
    <w:rsid w:val="00572134"/>
    <w:rsid w:val="00573CEE"/>
    <w:rsid w:val="005854FB"/>
    <w:rsid w:val="005855B1"/>
    <w:rsid w:val="0059443E"/>
    <w:rsid w:val="005946FE"/>
    <w:rsid w:val="00594BB7"/>
    <w:rsid w:val="00595F99"/>
    <w:rsid w:val="005A1440"/>
    <w:rsid w:val="005A526C"/>
    <w:rsid w:val="005A69EC"/>
    <w:rsid w:val="005A7278"/>
    <w:rsid w:val="005B0DCE"/>
    <w:rsid w:val="005B2E29"/>
    <w:rsid w:val="005B4701"/>
    <w:rsid w:val="005B7B0D"/>
    <w:rsid w:val="005C3518"/>
    <w:rsid w:val="005C6F32"/>
    <w:rsid w:val="005D4AFA"/>
    <w:rsid w:val="005D62E3"/>
    <w:rsid w:val="005F0B90"/>
    <w:rsid w:val="005F37CC"/>
    <w:rsid w:val="005F3E59"/>
    <w:rsid w:val="005F52B1"/>
    <w:rsid w:val="005F6B1F"/>
    <w:rsid w:val="00600D9B"/>
    <w:rsid w:val="006017EE"/>
    <w:rsid w:val="00602515"/>
    <w:rsid w:val="00615DAC"/>
    <w:rsid w:val="0061648C"/>
    <w:rsid w:val="00625271"/>
    <w:rsid w:val="006252B2"/>
    <w:rsid w:val="006271E1"/>
    <w:rsid w:val="0063114E"/>
    <w:rsid w:val="00631591"/>
    <w:rsid w:val="00634327"/>
    <w:rsid w:val="006372B8"/>
    <w:rsid w:val="00644619"/>
    <w:rsid w:val="00645786"/>
    <w:rsid w:val="00652565"/>
    <w:rsid w:val="006534E4"/>
    <w:rsid w:val="00654D99"/>
    <w:rsid w:val="00657187"/>
    <w:rsid w:val="00670163"/>
    <w:rsid w:val="00670864"/>
    <w:rsid w:val="00670FCD"/>
    <w:rsid w:val="006714E1"/>
    <w:rsid w:val="006748CF"/>
    <w:rsid w:val="006811BD"/>
    <w:rsid w:val="00681B69"/>
    <w:rsid w:val="00682A85"/>
    <w:rsid w:val="00684DAC"/>
    <w:rsid w:val="00695B31"/>
    <w:rsid w:val="0069662F"/>
    <w:rsid w:val="00697339"/>
    <w:rsid w:val="006A063A"/>
    <w:rsid w:val="006A2E59"/>
    <w:rsid w:val="006A3F52"/>
    <w:rsid w:val="006B0CED"/>
    <w:rsid w:val="006B1757"/>
    <w:rsid w:val="006C2086"/>
    <w:rsid w:val="006D3939"/>
    <w:rsid w:val="006E3EFD"/>
    <w:rsid w:val="00702AB7"/>
    <w:rsid w:val="00703B2F"/>
    <w:rsid w:val="00703DBB"/>
    <w:rsid w:val="00711F83"/>
    <w:rsid w:val="00713226"/>
    <w:rsid w:val="00714809"/>
    <w:rsid w:val="00717A28"/>
    <w:rsid w:val="007206C3"/>
    <w:rsid w:val="0072156A"/>
    <w:rsid w:val="00722112"/>
    <w:rsid w:val="00722D7C"/>
    <w:rsid w:val="007265F2"/>
    <w:rsid w:val="00731B07"/>
    <w:rsid w:val="007328B8"/>
    <w:rsid w:val="00737AF4"/>
    <w:rsid w:val="00741277"/>
    <w:rsid w:val="00742AF3"/>
    <w:rsid w:val="0074626B"/>
    <w:rsid w:val="00747B8D"/>
    <w:rsid w:val="007533B1"/>
    <w:rsid w:val="00755EC4"/>
    <w:rsid w:val="007566FD"/>
    <w:rsid w:val="007625F2"/>
    <w:rsid w:val="00763CFD"/>
    <w:rsid w:val="007658E1"/>
    <w:rsid w:val="007672AB"/>
    <w:rsid w:val="0077202A"/>
    <w:rsid w:val="00781D02"/>
    <w:rsid w:val="0078255D"/>
    <w:rsid w:val="00782C53"/>
    <w:rsid w:val="007848E4"/>
    <w:rsid w:val="00786283"/>
    <w:rsid w:val="007871D7"/>
    <w:rsid w:val="00787297"/>
    <w:rsid w:val="00787334"/>
    <w:rsid w:val="00790917"/>
    <w:rsid w:val="007915A5"/>
    <w:rsid w:val="007924A1"/>
    <w:rsid w:val="00792E33"/>
    <w:rsid w:val="0079320A"/>
    <w:rsid w:val="00795B75"/>
    <w:rsid w:val="007B42DF"/>
    <w:rsid w:val="007B4527"/>
    <w:rsid w:val="007B5D56"/>
    <w:rsid w:val="007C0C95"/>
    <w:rsid w:val="007C3D6E"/>
    <w:rsid w:val="007D38C6"/>
    <w:rsid w:val="007E4BB3"/>
    <w:rsid w:val="007E7933"/>
    <w:rsid w:val="007F47AE"/>
    <w:rsid w:val="007F7E02"/>
    <w:rsid w:val="008006A8"/>
    <w:rsid w:val="008038BA"/>
    <w:rsid w:val="00805BC5"/>
    <w:rsid w:val="00807039"/>
    <w:rsid w:val="00813DC2"/>
    <w:rsid w:val="00824C7C"/>
    <w:rsid w:val="008250C8"/>
    <w:rsid w:val="008324CC"/>
    <w:rsid w:val="00836D70"/>
    <w:rsid w:val="008450DA"/>
    <w:rsid w:val="0084532F"/>
    <w:rsid w:val="00854BC1"/>
    <w:rsid w:val="00855701"/>
    <w:rsid w:val="0085720F"/>
    <w:rsid w:val="0086112C"/>
    <w:rsid w:val="00866EDB"/>
    <w:rsid w:val="00867D23"/>
    <w:rsid w:val="00874B9F"/>
    <w:rsid w:val="00880ED9"/>
    <w:rsid w:val="008855D5"/>
    <w:rsid w:val="00886D7F"/>
    <w:rsid w:val="00891DF4"/>
    <w:rsid w:val="008A07F9"/>
    <w:rsid w:val="008A0D42"/>
    <w:rsid w:val="008A2534"/>
    <w:rsid w:val="008A692B"/>
    <w:rsid w:val="008B09FC"/>
    <w:rsid w:val="008C31A2"/>
    <w:rsid w:val="008C4236"/>
    <w:rsid w:val="008D0BDC"/>
    <w:rsid w:val="008D2ED4"/>
    <w:rsid w:val="008E2B1C"/>
    <w:rsid w:val="008E6631"/>
    <w:rsid w:val="008E7E02"/>
    <w:rsid w:val="008F187B"/>
    <w:rsid w:val="008F1ECD"/>
    <w:rsid w:val="008F1F36"/>
    <w:rsid w:val="008F3E33"/>
    <w:rsid w:val="008F56DB"/>
    <w:rsid w:val="008F68CE"/>
    <w:rsid w:val="00912899"/>
    <w:rsid w:val="00915085"/>
    <w:rsid w:val="009201C5"/>
    <w:rsid w:val="00927732"/>
    <w:rsid w:val="00934280"/>
    <w:rsid w:val="00936AD0"/>
    <w:rsid w:val="00953558"/>
    <w:rsid w:val="00954757"/>
    <w:rsid w:val="00955915"/>
    <w:rsid w:val="00961AF2"/>
    <w:rsid w:val="00962F93"/>
    <w:rsid w:val="00965FC1"/>
    <w:rsid w:val="0097305B"/>
    <w:rsid w:val="009742F5"/>
    <w:rsid w:val="00976450"/>
    <w:rsid w:val="00980E11"/>
    <w:rsid w:val="00983587"/>
    <w:rsid w:val="009869E3"/>
    <w:rsid w:val="009966AF"/>
    <w:rsid w:val="009B0063"/>
    <w:rsid w:val="009B1B70"/>
    <w:rsid w:val="009B2827"/>
    <w:rsid w:val="009B61B6"/>
    <w:rsid w:val="009C2093"/>
    <w:rsid w:val="009C5FC0"/>
    <w:rsid w:val="009C6B26"/>
    <w:rsid w:val="009D0742"/>
    <w:rsid w:val="009D4B07"/>
    <w:rsid w:val="009D5666"/>
    <w:rsid w:val="009D7BF7"/>
    <w:rsid w:val="009E040C"/>
    <w:rsid w:val="009E1A10"/>
    <w:rsid w:val="009E3704"/>
    <w:rsid w:val="009F0EAE"/>
    <w:rsid w:val="009F3E71"/>
    <w:rsid w:val="009F498A"/>
    <w:rsid w:val="00A00107"/>
    <w:rsid w:val="00A005F1"/>
    <w:rsid w:val="00A00BEA"/>
    <w:rsid w:val="00A040CD"/>
    <w:rsid w:val="00A05E32"/>
    <w:rsid w:val="00A06957"/>
    <w:rsid w:val="00A1537C"/>
    <w:rsid w:val="00A24806"/>
    <w:rsid w:val="00A24D70"/>
    <w:rsid w:val="00A26D12"/>
    <w:rsid w:val="00A34A7A"/>
    <w:rsid w:val="00A34CFB"/>
    <w:rsid w:val="00A419B9"/>
    <w:rsid w:val="00A42524"/>
    <w:rsid w:val="00A46D0B"/>
    <w:rsid w:val="00A4704E"/>
    <w:rsid w:val="00A52309"/>
    <w:rsid w:val="00A55F32"/>
    <w:rsid w:val="00A574C0"/>
    <w:rsid w:val="00A640A5"/>
    <w:rsid w:val="00A6561A"/>
    <w:rsid w:val="00A66F2B"/>
    <w:rsid w:val="00A70135"/>
    <w:rsid w:val="00A740BF"/>
    <w:rsid w:val="00A77608"/>
    <w:rsid w:val="00A8198D"/>
    <w:rsid w:val="00A865FE"/>
    <w:rsid w:val="00A8695C"/>
    <w:rsid w:val="00A87174"/>
    <w:rsid w:val="00A93B0F"/>
    <w:rsid w:val="00AA4AD1"/>
    <w:rsid w:val="00AA6D7C"/>
    <w:rsid w:val="00AA70AC"/>
    <w:rsid w:val="00AB2C1E"/>
    <w:rsid w:val="00AB6440"/>
    <w:rsid w:val="00AC2C92"/>
    <w:rsid w:val="00AC5482"/>
    <w:rsid w:val="00AC55A3"/>
    <w:rsid w:val="00AC6873"/>
    <w:rsid w:val="00AC6EA7"/>
    <w:rsid w:val="00AC744D"/>
    <w:rsid w:val="00AC7AFB"/>
    <w:rsid w:val="00AC7BD0"/>
    <w:rsid w:val="00AD0778"/>
    <w:rsid w:val="00AD26FD"/>
    <w:rsid w:val="00AD34C9"/>
    <w:rsid w:val="00AD77AC"/>
    <w:rsid w:val="00AE22B4"/>
    <w:rsid w:val="00AE325A"/>
    <w:rsid w:val="00AE49FE"/>
    <w:rsid w:val="00AE7E51"/>
    <w:rsid w:val="00AF38D5"/>
    <w:rsid w:val="00AF43E6"/>
    <w:rsid w:val="00AF4DCE"/>
    <w:rsid w:val="00AF6E18"/>
    <w:rsid w:val="00B02D45"/>
    <w:rsid w:val="00B040D6"/>
    <w:rsid w:val="00B051F6"/>
    <w:rsid w:val="00B13888"/>
    <w:rsid w:val="00B20D34"/>
    <w:rsid w:val="00B245FA"/>
    <w:rsid w:val="00B247C5"/>
    <w:rsid w:val="00B24F4C"/>
    <w:rsid w:val="00B31DD6"/>
    <w:rsid w:val="00B323E3"/>
    <w:rsid w:val="00B37D26"/>
    <w:rsid w:val="00B4111D"/>
    <w:rsid w:val="00B42BFB"/>
    <w:rsid w:val="00B445D1"/>
    <w:rsid w:val="00B4645F"/>
    <w:rsid w:val="00B47155"/>
    <w:rsid w:val="00B55F26"/>
    <w:rsid w:val="00B57009"/>
    <w:rsid w:val="00B5731A"/>
    <w:rsid w:val="00B625AE"/>
    <w:rsid w:val="00B647C0"/>
    <w:rsid w:val="00B67F44"/>
    <w:rsid w:val="00B70024"/>
    <w:rsid w:val="00B76B04"/>
    <w:rsid w:val="00B77A5D"/>
    <w:rsid w:val="00B83FEE"/>
    <w:rsid w:val="00B8575F"/>
    <w:rsid w:val="00B85B59"/>
    <w:rsid w:val="00B87A69"/>
    <w:rsid w:val="00B923A9"/>
    <w:rsid w:val="00BA05D9"/>
    <w:rsid w:val="00BA4D16"/>
    <w:rsid w:val="00BD0FB1"/>
    <w:rsid w:val="00BD1F85"/>
    <w:rsid w:val="00BD270E"/>
    <w:rsid w:val="00BD29D8"/>
    <w:rsid w:val="00BD2BE7"/>
    <w:rsid w:val="00BD2D23"/>
    <w:rsid w:val="00BD597B"/>
    <w:rsid w:val="00BD7ACD"/>
    <w:rsid w:val="00BE7C46"/>
    <w:rsid w:val="00BF00A9"/>
    <w:rsid w:val="00BF25F0"/>
    <w:rsid w:val="00BF4E82"/>
    <w:rsid w:val="00BF62AF"/>
    <w:rsid w:val="00C02411"/>
    <w:rsid w:val="00C0691E"/>
    <w:rsid w:val="00C07A1A"/>
    <w:rsid w:val="00C14319"/>
    <w:rsid w:val="00C20076"/>
    <w:rsid w:val="00C2372B"/>
    <w:rsid w:val="00C3503A"/>
    <w:rsid w:val="00C401AC"/>
    <w:rsid w:val="00C4760B"/>
    <w:rsid w:val="00C53464"/>
    <w:rsid w:val="00C53EC1"/>
    <w:rsid w:val="00C54C88"/>
    <w:rsid w:val="00C62BB2"/>
    <w:rsid w:val="00C63760"/>
    <w:rsid w:val="00C642F4"/>
    <w:rsid w:val="00C64A59"/>
    <w:rsid w:val="00C6722F"/>
    <w:rsid w:val="00C709AD"/>
    <w:rsid w:val="00C70FB6"/>
    <w:rsid w:val="00C716A6"/>
    <w:rsid w:val="00C7306C"/>
    <w:rsid w:val="00C735D3"/>
    <w:rsid w:val="00C76363"/>
    <w:rsid w:val="00C763E8"/>
    <w:rsid w:val="00C81377"/>
    <w:rsid w:val="00C8511E"/>
    <w:rsid w:val="00C85704"/>
    <w:rsid w:val="00C90AE0"/>
    <w:rsid w:val="00C92725"/>
    <w:rsid w:val="00C9421A"/>
    <w:rsid w:val="00C94451"/>
    <w:rsid w:val="00CA3C0E"/>
    <w:rsid w:val="00CA4732"/>
    <w:rsid w:val="00CA7838"/>
    <w:rsid w:val="00CB2399"/>
    <w:rsid w:val="00CB3390"/>
    <w:rsid w:val="00CC33F4"/>
    <w:rsid w:val="00CC4037"/>
    <w:rsid w:val="00CD17BC"/>
    <w:rsid w:val="00CD7BB7"/>
    <w:rsid w:val="00CE1861"/>
    <w:rsid w:val="00CF40A1"/>
    <w:rsid w:val="00CF4FDD"/>
    <w:rsid w:val="00D00E46"/>
    <w:rsid w:val="00D0236A"/>
    <w:rsid w:val="00D03BE4"/>
    <w:rsid w:val="00D07C66"/>
    <w:rsid w:val="00D11F8E"/>
    <w:rsid w:val="00D12CD4"/>
    <w:rsid w:val="00D131D9"/>
    <w:rsid w:val="00D16A33"/>
    <w:rsid w:val="00D21294"/>
    <w:rsid w:val="00D25CDC"/>
    <w:rsid w:val="00D30801"/>
    <w:rsid w:val="00D42190"/>
    <w:rsid w:val="00D43C67"/>
    <w:rsid w:val="00D46782"/>
    <w:rsid w:val="00D527B4"/>
    <w:rsid w:val="00D52EAC"/>
    <w:rsid w:val="00D53655"/>
    <w:rsid w:val="00D54F26"/>
    <w:rsid w:val="00D5560D"/>
    <w:rsid w:val="00D633ED"/>
    <w:rsid w:val="00D65E8A"/>
    <w:rsid w:val="00D65F2E"/>
    <w:rsid w:val="00D661D9"/>
    <w:rsid w:val="00D66390"/>
    <w:rsid w:val="00D72587"/>
    <w:rsid w:val="00D7486E"/>
    <w:rsid w:val="00D77728"/>
    <w:rsid w:val="00D81207"/>
    <w:rsid w:val="00DA3207"/>
    <w:rsid w:val="00DA4524"/>
    <w:rsid w:val="00DA732B"/>
    <w:rsid w:val="00DB2B88"/>
    <w:rsid w:val="00DB63B7"/>
    <w:rsid w:val="00DB63F4"/>
    <w:rsid w:val="00DB6E35"/>
    <w:rsid w:val="00DB7CB5"/>
    <w:rsid w:val="00DC0713"/>
    <w:rsid w:val="00DC1FDA"/>
    <w:rsid w:val="00DC4961"/>
    <w:rsid w:val="00DD1599"/>
    <w:rsid w:val="00DD317C"/>
    <w:rsid w:val="00DE4909"/>
    <w:rsid w:val="00DF2E8F"/>
    <w:rsid w:val="00E03492"/>
    <w:rsid w:val="00E122FD"/>
    <w:rsid w:val="00E16756"/>
    <w:rsid w:val="00E17F4F"/>
    <w:rsid w:val="00E26CF7"/>
    <w:rsid w:val="00E37841"/>
    <w:rsid w:val="00E40808"/>
    <w:rsid w:val="00E42B74"/>
    <w:rsid w:val="00E439F8"/>
    <w:rsid w:val="00E45F04"/>
    <w:rsid w:val="00E51446"/>
    <w:rsid w:val="00E5209B"/>
    <w:rsid w:val="00E61531"/>
    <w:rsid w:val="00E63621"/>
    <w:rsid w:val="00E64685"/>
    <w:rsid w:val="00E64800"/>
    <w:rsid w:val="00E65D39"/>
    <w:rsid w:val="00E662B5"/>
    <w:rsid w:val="00E70A87"/>
    <w:rsid w:val="00E70F61"/>
    <w:rsid w:val="00E71B94"/>
    <w:rsid w:val="00E7405A"/>
    <w:rsid w:val="00E759E9"/>
    <w:rsid w:val="00E80762"/>
    <w:rsid w:val="00E81CCD"/>
    <w:rsid w:val="00E87B95"/>
    <w:rsid w:val="00E91E44"/>
    <w:rsid w:val="00E93651"/>
    <w:rsid w:val="00E959D9"/>
    <w:rsid w:val="00E95EF1"/>
    <w:rsid w:val="00E96A4E"/>
    <w:rsid w:val="00E97184"/>
    <w:rsid w:val="00EA0EA9"/>
    <w:rsid w:val="00EA2AF7"/>
    <w:rsid w:val="00EA2F33"/>
    <w:rsid w:val="00EA366C"/>
    <w:rsid w:val="00EA4CE1"/>
    <w:rsid w:val="00EA666A"/>
    <w:rsid w:val="00EB2E09"/>
    <w:rsid w:val="00EB6FFD"/>
    <w:rsid w:val="00EB76A9"/>
    <w:rsid w:val="00EC3E1A"/>
    <w:rsid w:val="00ED2715"/>
    <w:rsid w:val="00ED35C9"/>
    <w:rsid w:val="00ED4F47"/>
    <w:rsid w:val="00EE234C"/>
    <w:rsid w:val="00EE4E58"/>
    <w:rsid w:val="00EF1723"/>
    <w:rsid w:val="00EF3002"/>
    <w:rsid w:val="00EF4F6D"/>
    <w:rsid w:val="00EF5710"/>
    <w:rsid w:val="00EF6555"/>
    <w:rsid w:val="00F05A4E"/>
    <w:rsid w:val="00F05E1E"/>
    <w:rsid w:val="00F1481F"/>
    <w:rsid w:val="00F14F28"/>
    <w:rsid w:val="00F17D91"/>
    <w:rsid w:val="00F20F05"/>
    <w:rsid w:val="00F211DB"/>
    <w:rsid w:val="00F21358"/>
    <w:rsid w:val="00F35721"/>
    <w:rsid w:val="00F40B31"/>
    <w:rsid w:val="00F428B0"/>
    <w:rsid w:val="00F46A1E"/>
    <w:rsid w:val="00F5002D"/>
    <w:rsid w:val="00F553F5"/>
    <w:rsid w:val="00F57E0B"/>
    <w:rsid w:val="00F607AA"/>
    <w:rsid w:val="00F62293"/>
    <w:rsid w:val="00F6411F"/>
    <w:rsid w:val="00F7021D"/>
    <w:rsid w:val="00F7106A"/>
    <w:rsid w:val="00F718CF"/>
    <w:rsid w:val="00F73AF2"/>
    <w:rsid w:val="00F81327"/>
    <w:rsid w:val="00F82635"/>
    <w:rsid w:val="00F828D1"/>
    <w:rsid w:val="00F9369E"/>
    <w:rsid w:val="00F9511C"/>
    <w:rsid w:val="00F96B3B"/>
    <w:rsid w:val="00FA0CC8"/>
    <w:rsid w:val="00FB1055"/>
    <w:rsid w:val="00FB1ADB"/>
    <w:rsid w:val="00FB3462"/>
    <w:rsid w:val="00FB6FC9"/>
    <w:rsid w:val="00FC1932"/>
    <w:rsid w:val="00FC6A8C"/>
    <w:rsid w:val="00FD03E3"/>
    <w:rsid w:val="00FD6AE2"/>
    <w:rsid w:val="00FD6E49"/>
    <w:rsid w:val="00FE1E12"/>
    <w:rsid w:val="00FE7BEE"/>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B88DE4"/>
  <w15:docId w15:val="{938DC344-3CDF-43BF-9C12-D512BDA34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539B"/>
    <w:pPr>
      <w:spacing w:after="0" w:line="240" w:lineRule="auto"/>
    </w:pPr>
    <w:rPr>
      <w:rFonts w:eastAsiaTheme="minorEastAsia"/>
      <w:sz w:val="24"/>
      <w:szCs w:val="24"/>
    </w:rPr>
  </w:style>
  <w:style w:type="paragraph" w:styleId="Heading1">
    <w:name w:val="heading 1"/>
    <w:basedOn w:val="Normal"/>
    <w:next w:val="Normal"/>
    <w:link w:val="Heading1Char"/>
    <w:uiPriority w:val="9"/>
    <w:qFormat/>
    <w:rsid w:val="004A7B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A70A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C26B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7BE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53255E"/>
    <w:pPr>
      <w:tabs>
        <w:tab w:val="center" w:pos="4513"/>
        <w:tab w:val="right" w:pos="9026"/>
      </w:tabs>
    </w:pPr>
  </w:style>
  <w:style w:type="character" w:customStyle="1" w:styleId="HeaderChar">
    <w:name w:val="Header Char"/>
    <w:basedOn w:val="DefaultParagraphFont"/>
    <w:link w:val="Header"/>
    <w:uiPriority w:val="99"/>
    <w:semiHidden/>
    <w:rsid w:val="0053255E"/>
    <w:rPr>
      <w:rFonts w:eastAsiaTheme="minorEastAsia"/>
      <w:sz w:val="24"/>
      <w:szCs w:val="24"/>
    </w:rPr>
  </w:style>
  <w:style w:type="paragraph" w:styleId="Footer">
    <w:name w:val="footer"/>
    <w:basedOn w:val="Normal"/>
    <w:link w:val="FooterChar"/>
    <w:uiPriority w:val="99"/>
    <w:unhideWhenUsed/>
    <w:rsid w:val="0053255E"/>
    <w:pPr>
      <w:tabs>
        <w:tab w:val="center" w:pos="4513"/>
        <w:tab w:val="right" w:pos="9026"/>
      </w:tabs>
    </w:pPr>
  </w:style>
  <w:style w:type="character" w:customStyle="1" w:styleId="FooterChar">
    <w:name w:val="Footer Char"/>
    <w:basedOn w:val="DefaultParagraphFont"/>
    <w:link w:val="Footer"/>
    <w:uiPriority w:val="99"/>
    <w:rsid w:val="0053255E"/>
    <w:rPr>
      <w:rFonts w:eastAsiaTheme="minorEastAsia"/>
      <w:sz w:val="24"/>
      <w:szCs w:val="24"/>
    </w:rPr>
  </w:style>
  <w:style w:type="character" w:styleId="CommentReference">
    <w:name w:val="annotation reference"/>
    <w:basedOn w:val="DefaultParagraphFont"/>
    <w:uiPriority w:val="99"/>
    <w:semiHidden/>
    <w:unhideWhenUsed/>
    <w:rsid w:val="00B57009"/>
    <w:rPr>
      <w:sz w:val="16"/>
      <w:szCs w:val="16"/>
    </w:rPr>
  </w:style>
  <w:style w:type="paragraph" w:styleId="CommentText">
    <w:name w:val="annotation text"/>
    <w:basedOn w:val="Normal"/>
    <w:link w:val="CommentTextChar"/>
    <w:uiPriority w:val="99"/>
    <w:semiHidden/>
    <w:unhideWhenUsed/>
    <w:rsid w:val="00B57009"/>
    <w:rPr>
      <w:sz w:val="20"/>
      <w:szCs w:val="20"/>
    </w:rPr>
  </w:style>
  <w:style w:type="character" w:customStyle="1" w:styleId="CommentTextChar">
    <w:name w:val="Comment Text Char"/>
    <w:basedOn w:val="DefaultParagraphFont"/>
    <w:link w:val="CommentText"/>
    <w:uiPriority w:val="99"/>
    <w:semiHidden/>
    <w:rsid w:val="00B57009"/>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57009"/>
    <w:rPr>
      <w:b/>
      <w:bCs/>
    </w:rPr>
  </w:style>
  <w:style w:type="character" w:customStyle="1" w:styleId="CommentSubjectChar">
    <w:name w:val="Comment Subject Char"/>
    <w:basedOn w:val="CommentTextChar"/>
    <w:link w:val="CommentSubject"/>
    <w:uiPriority w:val="99"/>
    <w:semiHidden/>
    <w:rsid w:val="00B57009"/>
    <w:rPr>
      <w:rFonts w:eastAsiaTheme="minorEastAsia"/>
      <w:b/>
      <w:bCs/>
      <w:sz w:val="20"/>
      <w:szCs w:val="20"/>
    </w:rPr>
  </w:style>
  <w:style w:type="paragraph" w:styleId="BalloonText">
    <w:name w:val="Balloon Text"/>
    <w:basedOn w:val="Normal"/>
    <w:link w:val="BalloonTextChar"/>
    <w:uiPriority w:val="99"/>
    <w:semiHidden/>
    <w:unhideWhenUsed/>
    <w:rsid w:val="00B57009"/>
    <w:rPr>
      <w:rFonts w:ascii="Tahoma" w:hAnsi="Tahoma" w:cs="Tahoma"/>
      <w:sz w:val="16"/>
      <w:szCs w:val="16"/>
    </w:rPr>
  </w:style>
  <w:style w:type="character" w:customStyle="1" w:styleId="BalloonTextChar">
    <w:name w:val="Balloon Text Char"/>
    <w:basedOn w:val="DefaultParagraphFont"/>
    <w:link w:val="BalloonText"/>
    <w:uiPriority w:val="99"/>
    <w:semiHidden/>
    <w:rsid w:val="00B57009"/>
    <w:rPr>
      <w:rFonts w:ascii="Tahoma" w:eastAsiaTheme="minorEastAsia" w:hAnsi="Tahoma" w:cs="Tahoma"/>
      <w:sz w:val="16"/>
      <w:szCs w:val="16"/>
    </w:rPr>
  </w:style>
  <w:style w:type="paragraph" w:styleId="ListParagraph">
    <w:name w:val="List Paragraph"/>
    <w:basedOn w:val="Normal"/>
    <w:uiPriority w:val="34"/>
    <w:qFormat/>
    <w:rsid w:val="00A640A5"/>
    <w:pPr>
      <w:ind w:left="720"/>
      <w:contextualSpacing/>
    </w:pPr>
  </w:style>
  <w:style w:type="paragraph" w:styleId="FootnoteText">
    <w:name w:val="footnote text"/>
    <w:basedOn w:val="Normal"/>
    <w:link w:val="FootnoteTextChar"/>
    <w:uiPriority w:val="99"/>
    <w:unhideWhenUsed/>
    <w:rsid w:val="003C61EF"/>
  </w:style>
  <w:style w:type="character" w:customStyle="1" w:styleId="FootnoteTextChar">
    <w:name w:val="Footnote Text Char"/>
    <w:basedOn w:val="DefaultParagraphFont"/>
    <w:link w:val="FootnoteText"/>
    <w:uiPriority w:val="99"/>
    <w:rsid w:val="003C61EF"/>
    <w:rPr>
      <w:rFonts w:eastAsiaTheme="minorEastAsia"/>
      <w:sz w:val="24"/>
      <w:szCs w:val="24"/>
    </w:rPr>
  </w:style>
  <w:style w:type="character" w:styleId="FootnoteReference">
    <w:name w:val="footnote reference"/>
    <w:basedOn w:val="DefaultParagraphFont"/>
    <w:uiPriority w:val="99"/>
    <w:unhideWhenUsed/>
    <w:rsid w:val="003C61EF"/>
    <w:rPr>
      <w:vertAlign w:val="superscript"/>
    </w:rPr>
  </w:style>
  <w:style w:type="numbering" w:customStyle="1" w:styleId="List0">
    <w:name w:val="List 0"/>
    <w:basedOn w:val="NoList"/>
    <w:rsid w:val="003C61EF"/>
    <w:pPr>
      <w:numPr>
        <w:numId w:val="6"/>
      </w:numPr>
    </w:pPr>
  </w:style>
  <w:style w:type="numbering" w:customStyle="1" w:styleId="List1">
    <w:name w:val="List 1"/>
    <w:basedOn w:val="NoList"/>
    <w:rsid w:val="003C61EF"/>
    <w:pPr>
      <w:numPr>
        <w:numId w:val="7"/>
      </w:numPr>
    </w:pPr>
  </w:style>
  <w:style w:type="character" w:customStyle="1" w:styleId="Heading2Char">
    <w:name w:val="Heading 2 Char"/>
    <w:basedOn w:val="DefaultParagraphFont"/>
    <w:link w:val="Heading2"/>
    <w:uiPriority w:val="9"/>
    <w:rsid w:val="00AA70AC"/>
    <w:rPr>
      <w:rFonts w:asciiTheme="majorHAnsi" w:eastAsiaTheme="majorEastAsia" w:hAnsiTheme="majorHAnsi" w:cstheme="majorBidi"/>
      <w:b/>
      <w:bCs/>
      <w:color w:val="4F81BD" w:themeColor="accent1"/>
      <w:sz w:val="26"/>
      <w:szCs w:val="26"/>
    </w:rPr>
  </w:style>
  <w:style w:type="numbering" w:customStyle="1" w:styleId="List31">
    <w:name w:val="List 31"/>
    <w:basedOn w:val="NoList"/>
    <w:rsid w:val="00382E47"/>
    <w:pPr>
      <w:numPr>
        <w:numId w:val="16"/>
      </w:numPr>
    </w:pPr>
  </w:style>
  <w:style w:type="numbering" w:customStyle="1" w:styleId="List41">
    <w:name w:val="List 41"/>
    <w:basedOn w:val="NoList"/>
    <w:rsid w:val="00382E47"/>
    <w:pPr>
      <w:numPr>
        <w:numId w:val="21"/>
      </w:numPr>
    </w:pPr>
  </w:style>
  <w:style w:type="numbering" w:customStyle="1" w:styleId="List51">
    <w:name w:val="List 51"/>
    <w:basedOn w:val="NoList"/>
    <w:rsid w:val="00382E47"/>
    <w:pPr>
      <w:numPr>
        <w:numId w:val="24"/>
      </w:numPr>
    </w:pPr>
  </w:style>
  <w:style w:type="numbering" w:customStyle="1" w:styleId="List6">
    <w:name w:val="List 6"/>
    <w:basedOn w:val="NoList"/>
    <w:rsid w:val="00382E47"/>
    <w:pPr>
      <w:numPr>
        <w:numId w:val="25"/>
      </w:numPr>
    </w:pPr>
  </w:style>
  <w:style w:type="numbering" w:customStyle="1" w:styleId="List7">
    <w:name w:val="List 7"/>
    <w:basedOn w:val="NoList"/>
    <w:rsid w:val="00382E47"/>
    <w:pPr>
      <w:numPr>
        <w:numId w:val="26"/>
      </w:numPr>
    </w:pPr>
  </w:style>
  <w:style w:type="numbering" w:customStyle="1" w:styleId="List8">
    <w:name w:val="List 8"/>
    <w:basedOn w:val="NoList"/>
    <w:rsid w:val="00382E47"/>
    <w:pPr>
      <w:numPr>
        <w:numId w:val="27"/>
      </w:numPr>
    </w:pPr>
  </w:style>
  <w:style w:type="numbering" w:customStyle="1" w:styleId="List9">
    <w:name w:val="List 9"/>
    <w:basedOn w:val="NoList"/>
    <w:rsid w:val="00382E47"/>
    <w:pPr>
      <w:numPr>
        <w:numId w:val="30"/>
      </w:numPr>
    </w:pPr>
  </w:style>
  <w:style w:type="numbering" w:customStyle="1" w:styleId="List10">
    <w:name w:val="List 10"/>
    <w:basedOn w:val="NoList"/>
    <w:rsid w:val="00382E47"/>
    <w:pPr>
      <w:numPr>
        <w:numId w:val="33"/>
      </w:numPr>
    </w:pPr>
  </w:style>
  <w:style w:type="numbering" w:customStyle="1" w:styleId="List11">
    <w:name w:val="List 11"/>
    <w:basedOn w:val="NoList"/>
    <w:rsid w:val="00382E47"/>
    <w:pPr>
      <w:numPr>
        <w:numId w:val="34"/>
      </w:numPr>
    </w:pPr>
  </w:style>
  <w:style w:type="numbering" w:customStyle="1" w:styleId="List12">
    <w:name w:val="List 12"/>
    <w:basedOn w:val="NoList"/>
    <w:rsid w:val="00382E47"/>
    <w:pPr>
      <w:numPr>
        <w:numId w:val="35"/>
      </w:numPr>
    </w:pPr>
  </w:style>
  <w:style w:type="numbering" w:customStyle="1" w:styleId="List13">
    <w:name w:val="List 13"/>
    <w:basedOn w:val="NoList"/>
    <w:rsid w:val="00382E47"/>
    <w:pPr>
      <w:numPr>
        <w:numId w:val="47"/>
      </w:numPr>
    </w:pPr>
  </w:style>
  <w:style w:type="numbering" w:customStyle="1" w:styleId="List14">
    <w:name w:val="List 14"/>
    <w:basedOn w:val="NoList"/>
    <w:rsid w:val="00382E47"/>
    <w:pPr>
      <w:numPr>
        <w:numId w:val="36"/>
      </w:numPr>
    </w:pPr>
  </w:style>
  <w:style w:type="numbering" w:customStyle="1" w:styleId="List15">
    <w:name w:val="List 15"/>
    <w:basedOn w:val="NoList"/>
    <w:rsid w:val="00382E47"/>
    <w:pPr>
      <w:numPr>
        <w:numId w:val="37"/>
      </w:numPr>
    </w:pPr>
  </w:style>
  <w:style w:type="numbering" w:customStyle="1" w:styleId="List16">
    <w:name w:val="List 16"/>
    <w:basedOn w:val="NoList"/>
    <w:rsid w:val="00382E47"/>
    <w:pPr>
      <w:numPr>
        <w:numId w:val="38"/>
      </w:numPr>
    </w:pPr>
  </w:style>
  <w:style w:type="numbering" w:customStyle="1" w:styleId="List17">
    <w:name w:val="List 17"/>
    <w:basedOn w:val="NoList"/>
    <w:rsid w:val="00382E47"/>
    <w:pPr>
      <w:numPr>
        <w:numId w:val="39"/>
      </w:numPr>
    </w:pPr>
  </w:style>
  <w:style w:type="numbering" w:customStyle="1" w:styleId="List18">
    <w:name w:val="List 18"/>
    <w:basedOn w:val="NoList"/>
    <w:rsid w:val="00382E47"/>
    <w:pPr>
      <w:numPr>
        <w:numId w:val="40"/>
      </w:numPr>
    </w:pPr>
  </w:style>
  <w:style w:type="numbering" w:customStyle="1" w:styleId="List19">
    <w:name w:val="List 19"/>
    <w:basedOn w:val="NoList"/>
    <w:rsid w:val="00382E47"/>
    <w:pPr>
      <w:numPr>
        <w:numId w:val="41"/>
      </w:numPr>
    </w:pPr>
  </w:style>
  <w:style w:type="numbering" w:customStyle="1" w:styleId="List20">
    <w:name w:val="List 20"/>
    <w:basedOn w:val="NoList"/>
    <w:rsid w:val="00382E47"/>
    <w:pPr>
      <w:numPr>
        <w:numId w:val="42"/>
      </w:numPr>
    </w:pPr>
  </w:style>
  <w:style w:type="numbering" w:customStyle="1" w:styleId="List21">
    <w:name w:val="List 21"/>
    <w:basedOn w:val="NoList"/>
    <w:rsid w:val="00382E47"/>
    <w:pPr>
      <w:numPr>
        <w:numId w:val="43"/>
      </w:numPr>
    </w:pPr>
  </w:style>
  <w:style w:type="numbering" w:customStyle="1" w:styleId="List22">
    <w:name w:val="List 22"/>
    <w:basedOn w:val="NoList"/>
    <w:rsid w:val="00382E47"/>
    <w:pPr>
      <w:numPr>
        <w:numId w:val="44"/>
      </w:numPr>
    </w:pPr>
  </w:style>
  <w:style w:type="numbering" w:customStyle="1" w:styleId="List23">
    <w:name w:val="List 23"/>
    <w:basedOn w:val="NoList"/>
    <w:rsid w:val="00382E47"/>
    <w:pPr>
      <w:numPr>
        <w:numId w:val="45"/>
      </w:numPr>
    </w:pPr>
  </w:style>
  <w:style w:type="numbering" w:customStyle="1" w:styleId="List24">
    <w:name w:val="List 24"/>
    <w:basedOn w:val="NoList"/>
    <w:rsid w:val="00382E47"/>
    <w:pPr>
      <w:numPr>
        <w:numId w:val="46"/>
      </w:numPr>
    </w:pPr>
  </w:style>
  <w:style w:type="numbering" w:customStyle="1" w:styleId="List25">
    <w:name w:val="List 25"/>
    <w:basedOn w:val="NoList"/>
    <w:rsid w:val="00382E47"/>
    <w:pPr>
      <w:numPr>
        <w:numId w:val="48"/>
      </w:numPr>
    </w:pPr>
  </w:style>
  <w:style w:type="numbering" w:customStyle="1" w:styleId="List26">
    <w:name w:val="List 26"/>
    <w:basedOn w:val="NoList"/>
    <w:rsid w:val="00382E47"/>
    <w:pPr>
      <w:numPr>
        <w:numId w:val="49"/>
      </w:numPr>
    </w:pPr>
  </w:style>
  <w:style w:type="numbering" w:customStyle="1" w:styleId="List27">
    <w:name w:val="List 27"/>
    <w:basedOn w:val="NoList"/>
    <w:rsid w:val="00382E47"/>
    <w:pPr>
      <w:numPr>
        <w:numId w:val="50"/>
      </w:numPr>
    </w:pPr>
  </w:style>
  <w:style w:type="numbering" w:customStyle="1" w:styleId="List28">
    <w:name w:val="List 28"/>
    <w:basedOn w:val="NoList"/>
    <w:rsid w:val="00382E47"/>
    <w:pPr>
      <w:numPr>
        <w:numId w:val="51"/>
      </w:numPr>
    </w:pPr>
  </w:style>
  <w:style w:type="numbering" w:customStyle="1" w:styleId="List29">
    <w:name w:val="List 29"/>
    <w:basedOn w:val="NoList"/>
    <w:rsid w:val="00382E47"/>
    <w:pPr>
      <w:numPr>
        <w:numId w:val="52"/>
      </w:numPr>
    </w:pPr>
  </w:style>
  <w:style w:type="numbering" w:customStyle="1" w:styleId="List30">
    <w:name w:val="List 30"/>
    <w:basedOn w:val="NoList"/>
    <w:rsid w:val="00382E47"/>
    <w:pPr>
      <w:numPr>
        <w:numId w:val="53"/>
      </w:numPr>
    </w:pPr>
  </w:style>
  <w:style w:type="character" w:styleId="Hyperlink">
    <w:name w:val="Hyperlink"/>
    <w:basedOn w:val="DefaultParagraphFont"/>
    <w:uiPriority w:val="99"/>
    <w:unhideWhenUsed/>
    <w:rsid w:val="00BA4D16"/>
    <w:rPr>
      <w:color w:val="0000FF" w:themeColor="hyperlink"/>
      <w:u w:val="single"/>
    </w:rPr>
  </w:style>
  <w:style w:type="paragraph" w:styleId="TOC1">
    <w:name w:val="toc 1"/>
    <w:basedOn w:val="Normal"/>
    <w:next w:val="Normal"/>
    <w:autoRedefine/>
    <w:uiPriority w:val="39"/>
    <w:unhideWhenUsed/>
    <w:rsid w:val="00B8575F"/>
    <w:pPr>
      <w:spacing w:before="360"/>
    </w:pPr>
    <w:rPr>
      <w:rFonts w:asciiTheme="majorHAnsi" w:hAnsiTheme="majorHAnsi"/>
      <w:b/>
      <w:bCs/>
      <w:caps/>
    </w:rPr>
  </w:style>
  <w:style w:type="paragraph" w:styleId="TOC2">
    <w:name w:val="toc 2"/>
    <w:basedOn w:val="Normal"/>
    <w:next w:val="Normal"/>
    <w:autoRedefine/>
    <w:uiPriority w:val="39"/>
    <w:unhideWhenUsed/>
    <w:rsid w:val="00B8575F"/>
    <w:pPr>
      <w:spacing w:before="240"/>
    </w:pPr>
    <w:rPr>
      <w:b/>
      <w:bCs/>
      <w:sz w:val="20"/>
      <w:szCs w:val="20"/>
    </w:rPr>
  </w:style>
  <w:style w:type="paragraph" w:styleId="TOC3">
    <w:name w:val="toc 3"/>
    <w:basedOn w:val="Normal"/>
    <w:next w:val="Normal"/>
    <w:autoRedefine/>
    <w:uiPriority w:val="39"/>
    <w:unhideWhenUsed/>
    <w:rsid w:val="00B8575F"/>
    <w:pPr>
      <w:ind w:left="240"/>
    </w:pPr>
    <w:rPr>
      <w:sz w:val="20"/>
      <w:szCs w:val="20"/>
    </w:rPr>
  </w:style>
  <w:style w:type="paragraph" w:styleId="TOC4">
    <w:name w:val="toc 4"/>
    <w:basedOn w:val="Normal"/>
    <w:next w:val="Normal"/>
    <w:autoRedefine/>
    <w:uiPriority w:val="39"/>
    <w:unhideWhenUsed/>
    <w:rsid w:val="00B8575F"/>
    <w:pPr>
      <w:ind w:left="480"/>
    </w:pPr>
    <w:rPr>
      <w:sz w:val="20"/>
      <w:szCs w:val="20"/>
    </w:rPr>
  </w:style>
  <w:style w:type="paragraph" w:styleId="TOC5">
    <w:name w:val="toc 5"/>
    <w:basedOn w:val="Normal"/>
    <w:next w:val="Normal"/>
    <w:autoRedefine/>
    <w:uiPriority w:val="39"/>
    <w:unhideWhenUsed/>
    <w:rsid w:val="00B8575F"/>
    <w:pPr>
      <w:ind w:left="720"/>
    </w:pPr>
    <w:rPr>
      <w:sz w:val="20"/>
      <w:szCs w:val="20"/>
    </w:rPr>
  </w:style>
  <w:style w:type="paragraph" w:styleId="TOC6">
    <w:name w:val="toc 6"/>
    <w:basedOn w:val="Normal"/>
    <w:next w:val="Normal"/>
    <w:autoRedefine/>
    <w:uiPriority w:val="39"/>
    <w:unhideWhenUsed/>
    <w:rsid w:val="00B8575F"/>
    <w:pPr>
      <w:ind w:left="960"/>
    </w:pPr>
    <w:rPr>
      <w:sz w:val="20"/>
      <w:szCs w:val="20"/>
    </w:rPr>
  </w:style>
  <w:style w:type="paragraph" w:styleId="TOC7">
    <w:name w:val="toc 7"/>
    <w:basedOn w:val="Normal"/>
    <w:next w:val="Normal"/>
    <w:autoRedefine/>
    <w:uiPriority w:val="39"/>
    <w:unhideWhenUsed/>
    <w:rsid w:val="00B8575F"/>
    <w:pPr>
      <w:ind w:left="1200"/>
    </w:pPr>
    <w:rPr>
      <w:sz w:val="20"/>
      <w:szCs w:val="20"/>
    </w:rPr>
  </w:style>
  <w:style w:type="paragraph" w:styleId="TOC8">
    <w:name w:val="toc 8"/>
    <w:basedOn w:val="Normal"/>
    <w:next w:val="Normal"/>
    <w:autoRedefine/>
    <w:uiPriority w:val="39"/>
    <w:unhideWhenUsed/>
    <w:rsid w:val="00B8575F"/>
    <w:pPr>
      <w:ind w:left="1440"/>
    </w:pPr>
    <w:rPr>
      <w:sz w:val="20"/>
      <w:szCs w:val="20"/>
    </w:rPr>
  </w:style>
  <w:style w:type="paragraph" w:styleId="TOC9">
    <w:name w:val="toc 9"/>
    <w:basedOn w:val="Normal"/>
    <w:next w:val="Normal"/>
    <w:autoRedefine/>
    <w:uiPriority w:val="39"/>
    <w:unhideWhenUsed/>
    <w:rsid w:val="00B8575F"/>
    <w:pPr>
      <w:ind w:left="1680"/>
    </w:pPr>
    <w:rPr>
      <w:sz w:val="20"/>
      <w:szCs w:val="20"/>
    </w:rPr>
  </w:style>
  <w:style w:type="paragraph" w:styleId="NoSpacing">
    <w:name w:val="No Spacing"/>
    <w:uiPriority w:val="1"/>
    <w:qFormat/>
    <w:rsid w:val="007B42DF"/>
    <w:pPr>
      <w:spacing w:after="0" w:line="240" w:lineRule="auto"/>
    </w:pPr>
    <w:rPr>
      <w:rFonts w:eastAsiaTheme="minorEastAsia"/>
      <w:sz w:val="24"/>
      <w:szCs w:val="24"/>
    </w:rPr>
  </w:style>
  <w:style w:type="paragraph" w:styleId="TableofFigures">
    <w:name w:val="table of figures"/>
    <w:basedOn w:val="Normal"/>
    <w:next w:val="Normal"/>
    <w:uiPriority w:val="99"/>
    <w:unhideWhenUsed/>
    <w:rsid w:val="003673A7"/>
  </w:style>
  <w:style w:type="table" w:styleId="TableGrid">
    <w:name w:val="Table Grid"/>
    <w:basedOn w:val="TableNormal"/>
    <w:uiPriority w:val="59"/>
    <w:rsid w:val="00A040C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unhideWhenUsed/>
    <w:qFormat/>
    <w:rsid w:val="00AD34C9"/>
    <w:pPr>
      <w:spacing w:after="200"/>
    </w:pPr>
    <w:rPr>
      <w:b/>
      <w:bCs/>
      <w:color w:val="4F81BD" w:themeColor="accent1"/>
      <w:sz w:val="18"/>
      <w:szCs w:val="18"/>
    </w:rPr>
  </w:style>
  <w:style w:type="table" w:styleId="MediumShading2-Accent4">
    <w:name w:val="Medium Shading 2 Accent 4"/>
    <w:basedOn w:val="TableNormal"/>
    <w:uiPriority w:val="64"/>
    <w:rsid w:val="001720B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Heading3Char">
    <w:name w:val="Heading 3 Char"/>
    <w:basedOn w:val="DefaultParagraphFont"/>
    <w:link w:val="Heading3"/>
    <w:uiPriority w:val="9"/>
    <w:semiHidden/>
    <w:rsid w:val="001C26B7"/>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7848E4"/>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268322">
      <w:bodyDiv w:val="1"/>
      <w:marLeft w:val="0"/>
      <w:marRight w:val="0"/>
      <w:marTop w:val="0"/>
      <w:marBottom w:val="0"/>
      <w:divBdr>
        <w:top w:val="none" w:sz="0" w:space="0" w:color="auto"/>
        <w:left w:val="none" w:sz="0" w:space="0" w:color="auto"/>
        <w:bottom w:val="none" w:sz="0" w:space="0" w:color="auto"/>
        <w:right w:val="none" w:sz="0" w:space="0" w:color="auto"/>
      </w:divBdr>
    </w:div>
    <w:div w:id="170409898">
      <w:bodyDiv w:val="1"/>
      <w:marLeft w:val="0"/>
      <w:marRight w:val="0"/>
      <w:marTop w:val="0"/>
      <w:marBottom w:val="0"/>
      <w:divBdr>
        <w:top w:val="none" w:sz="0" w:space="0" w:color="auto"/>
        <w:left w:val="none" w:sz="0" w:space="0" w:color="auto"/>
        <w:bottom w:val="none" w:sz="0" w:space="0" w:color="auto"/>
        <w:right w:val="none" w:sz="0" w:space="0" w:color="auto"/>
      </w:divBdr>
    </w:div>
    <w:div w:id="306711121">
      <w:bodyDiv w:val="1"/>
      <w:marLeft w:val="0"/>
      <w:marRight w:val="0"/>
      <w:marTop w:val="0"/>
      <w:marBottom w:val="0"/>
      <w:divBdr>
        <w:top w:val="none" w:sz="0" w:space="0" w:color="auto"/>
        <w:left w:val="none" w:sz="0" w:space="0" w:color="auto"/>
        <w:bottom w:val="none" w:sz="0" w:space="0" w:color="auto"/>
        <w:right w:val="none" w:sz="0" w:space="0" w:color="auto"/>
      </w:divBdr>
    </w:div>
    <w:div w:id="408579375">
      <w:bodyDiv w:val="1"/>
      <w:marLeft w:val="0"/>
      <w:marRight w:val="0"/>
      <w:marTop w:val="0"/>
      <w:marBottom w:val="0"/>
      <w:divBdr>
        <w:top w:val="none" w:sz="0" w:space="0" w:color="auto"/>
        <w:left w:val="none" w:sz="0" w:space="0" w:color="auto"/>
        <w:bottom w:val="none" w:sz="0" w:space="0" w:color="auto"/>
        <w:right w:val="none" w:sz="0" w:space="0" w:color="auto"/>
      </w:divBdr>
    </w:div>
    <w:div w:id="1172375606">
      <w:bodyDiv w:val="1"/>
      <w:marLeft w:val="0"/>
      <w:marRight w:val="0"/>
      <w:marTop w:val="0"/>
      <w:marBottom w:val="0"/>
      <w:divBdr>
        <w:top w:val="none" w:sz="0" w:space="0" w:color="auto"/>
        <w:left w:val="none" w:sz="0" w:space="0" w:color="auto"/>
        <w:bottom w:val="none" w:sz="0" w:space="0" w:color="auto"/>
        <w:right w:val="none" w:sz="0" w:space="0" w:color="auto"/>
      </w:divBdr>
      <w:divsChild>
        <w:div w:id="952833067">
          <w:marLeft w:val="0"/>
          <w:marRight w:val="0"/>
          <w:marTop w:val="0"/>
          <w:marBottom w:val="0"/>
          <w:divBdr>
            <w:top w:val="none" w:sz="0" w:space="0" w:color="auto"/>
            <w:left w:val="none" w:sz="0" w:space="0" w:color="auto"/>
            <w:bottom w:val="none" w:sz="0" w:space="0" w:color="auto"/>
            <w:right w:val="none" w:sz="0" w:space="0" w:color="auto"/>
          </w:divBdr>
          <w:divsChild>
            <w:div w:id="1732464213">
              <w:marLeft w:val="0"/>
              <w:marRight w:val="0"/>
              <w:marTop w:val="0"/>
              <w:marBottom w:val="0"/>
              <w:divBdr>
                <w:top w:val="none" w:sz="0" w:space="0" w:color="auto"/>
                <w:left w:val="none" w:sz="0" w:space="0" w:color="auto"/>
                <w:bottom w:val="none" w:sz="0" w:space="0" w:color="auto"/>
                <w:right w:val="none" w:sz="0" w:space="0" w:color="auto"/>
              </w:divBdr>
              <w:divsChild>
                <w:div w:id="342897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93982">
      <w:bodyDiv w:val="1"/>
      <w:marLeft w:val="0"/>
      <w:marRight w:val="0"/>
      <w:marTop w:val="0"/>
      <w:marBottom w:val="0"/>
      <w:divBdr>
        <w:top w:val="none" w:sz="0" w:space="0" w:color="auto"/>
        <w:left w:val="none" w:sz="0" w:space="0" w:color="auto"/>
        <w:bottom w:val="none" w:sz="0" w:space="0" w:color="auto"/>
        <w:right w:val="none" w:sz="0" w:space="0" w:color="auto"/>
      </w:divBdr>
      <w:divsChild>
        <w:div w:id="1486167461">
          <w:marLeft w:val="0"/>
          <w:marRight w:val="0"/>
          <w:marTop w:val="0"/>
          <w:marBottom w:val="0"/>
          <w:divBdr>
            <w:top w:val="none" w:sz="0" w:space="0" w:color="auto"/>
            <w:left w:val="none" w:sz="0" w:space="0" w:color="auto"/>
            <w:bottom w:val="none" w:sz="0" w:space="0" w:color="auto"/>
            <w:right w:val="none" w:sz="0" w:space="0" w:color="auto"/>
          </w:divBdr>
          <w:divsChild>
            <w:div w:id="662513993">
              <w:marLeft w:val="0"/>
              <w:marRight w:val="0"/>
              <w:marTop w:val="0"/>
              <w:marBottom w:val="0"/>
              <w:divBdr>
                <w:top w:val="none" w:sz="0" w:space="0" w:color="auto"/>
                <w:left w:val="none" w:sz="0" w:space="0" w:color="auto"/>
                <w:bottom w:val="none" w:sz="0" w:space="0" w:color="auto"/>
                <w:right w:val="none" w:sz="0" w:space="0" w:color="auto"/>
              </w:divBdr>
              <w:divsChild>
                <w:div w:id="4603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694452">
      <w:bodyDiv w:val="1"/>
      <w:marLeft w:val="0"/>
      <w:marRight w:val="0"/>
      <w:marTop w:val="0"/>
      <w:marBottom w:val="0"/>
      <w:divBdr>
        <w:top w:val="none" w:sz="0" w:space="0" w:color="auto"/>
        <w:left w:val="none" w:sz="0" w:space="0" w:color="auto"/>
        <w:bottom w:val="none" w:sz="0" w:space="0" w:color="auto"/>
        <w:right w:val="none" w:sz="0" w:space="0" w:color="auto"/>
      </w:divBdr>
      <w:divsChild>
        <w:div w:id="323511037">
          <w:marLeft w:val="0"/>
          <w:marRight w:val="0"/>
          <w:marTop w:val="0"/>
          <w:marBottom w:val="0"/>
          <w:divBdr>
            <w:top w:val="none" w:sz="0" w:space="0" w:color="auto"/>
            <w:left w:val="none" w:sz="0" w:space="0" w:color="auto"/>
            <w:bottom w:val="none" w:sz="0" w:space="0" w:color="auto"/>
            <w:right w:val="none" w:sz="0" w:space="0" w:color="auto"/>
          </w:divBdr>
          <w:divsChild>
            <w:div w:id="1446541086">
              <w:marLeft w:val="0"/>
              <w:marRight w:val="0"/>
              <w:marTop w:val="0"/>
              <w:marBottom w:val="0"/>
              <w:divBdr>
                <w:top w:val="none" w:sz="0" w:space="0" w:color="auto"/>
                <w:left w:val="none" w:sz="0" w:space="0" w:color="auto"/>
                <w:bottom w:val="none" w:sz="0" w:space="0" w:color="auto"/>
                <w:right w:val="none" w:sz="0" w:space="0" w:color="auto"/>
              </w:divBdr>
              <w:divsChild>
                <w:div w:id="1664427960">
                  <w:marLeft w:val="0"/>
                  <w:marRight w:val="0"/>
                  <w:marTop w:val="0"/>
                  <w:marBottom w:val="0"/>
                  <w:divBdr>
                    <w:top w:val="none" w:sz="0" w:space="0" w:color="auto"/>
                    <w:left w:val="none" w:sz="0" w:space="0" w:color="auto"/>
                    <w:bottom w:val="none" w:sz="0" w:space="0" w:color="auto"/>
                    <w:right w:val="none" w:sz="0" w:space="0" w:color="auto"/>
                  </w:divBdr>
                </w:div>
              </w:divsChild>
            </w:div>
            <w:div w:id="369690725">
              <w:marLeft w:val="0"/>
              <w:marRight w:val="0"/>
              <w:marTop w:val="0"/>
              <w:marBottom w:val="0"/>
              <w:divBdr>
                <w:top w:val="none" w:sz="0" w:space="0" w:color="auto"/>
                <w:left w:val="none" w:sz="0" w:space="0" w:color="auto"/>
                <w:bottom w:val="none" w:sz="0" w:space="0" w:color="auto"/>
                <w:right w:val="none" w:sz="0" w:space="0" w:color="auto"/>
              </w:divBdr>
              <w:divsChild>
                <w:div w:id="1713262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73840">
          <w:marLeft w:val="0"/>
          <w:marRight w:val="0"/>
          <w:marTop w:val="0"/>
          <w:marBottom w:val="0"/>
          <w:divBdr>
            <w:top w:val="none" w:sz="0" w:space="0" w:color="auto"/>
            <w:left w:val="none" w:sz="0" w:space="0" w:color="auto"/>
            <w:bottom w:val="none" w:sz="0" w:space="0" w:color="auto"/>
            <w:right w:val="none" w:sz="0" w:space="0" w:color="auto"/>
          </w:divBdr>
          <w:divsChild>
            <w:div w:id="736391886">
              <w:marLeft w:val="0"/>
              <w:marRight w:val="0"/>
              <w:marTop w:val="0"/>
              <w:marBottom w:val="0"/>
              <w:divBdr>
                <w:top w:val="none" w:sz="0" w:space="0" w:color="auto"/>
                <w:left w:val="none" w:sz="0" w:space="0" w:color="auto"/>
                <w:bottom w:val="none" w:sz="0" w:space="0" w:color="auto"/>
                <w:right w:val="none" w:sz="0" w:space="0" w:color="auto"/>
              </w:divBdr>
              <w:divsChild>
                <w:div w:id="530193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diagramDrawing" Target="diagrams/drawing1.xml"/><Relationship Id="rId18" Type="http://schemas.openxmlformats.org/officeDocument/2006/relationships/header" Target="header1.xml"/><Relationship Id="rId26" Type="http://schemas.openxmlformats.org/officeDocument/2006/relationships/hyperlink" Target="http://pdf.usaid.gov/pdf_docs/PA00JBJQ.pdf" TargetMode="External"/><Relationship Id="rId3" Type="http://schemas.openxmlformats.org/officeDocument/2006/relationships/styles" Target="styles.xml"/><Relationship Id="rId21" Type="http://schemas.openxmlformats.org/officeDocument/2006/relationships/hyperlink" Target="http://www.crnsa.co.za/the-state-of-childrens-rights-in-southern-africa/"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chart" Target="charts/chart4.xml"/><Relationship Id="rId25" Type="http://schemas.openxmlformats.org/officeDocument/2006/relationships/hyperlink" Target="https://www.unicef.org/southafrica/resources_5237.html" TargetMode="Externa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hyperlink" Target="http://www.ci.org.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hyperlink" Target="http://www.leadsa.co.za/articles/8184/childrens-rights-in-south-africa" TargetMode="Externa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hyperlink" Target="http://www.kas.de/upload/auslandshomepages/namibia/Children_Rights/Children_v.pdf" TargetMode="External"/><Relationship Id="rId28"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chart" Target="charts/chart1.xml"/><Relationship Id="rId22" Type="http://schemas.openxmlformats.org/officeDocument/2006/relationships/hyperlink" Target="http://www.constitutionalcourt.org.za/text/rights/know/children.html"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saflii.org/za/legis/consol_act/noa1997287/" TargetMode="External"/><Relationship Id="rId2" Type="http://schemas.openxmlformats.org/officeDocument/2006/relationships/hyperlink" Target="http://www.info.gov.co.za" TargetMode="External"/><Relationship Id="rId1" Type="http://schemas.openxmlformats.org/officeDocument/2006/relationships/hyperlink" Target="http://www.ci.org.za" TargetMode="External"/><Relationship Id="rId4" Type="http://schemas.openxmlformats.org/officeDocument/2006/relationships/hyperlink" Target="http://www.justice.gov.za/legislation/constitution/SAConstitution-web-eng-02.pdf"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lang="en-US"/>
            </a:pPr>
            <a:r>
              <a:rPr lang="en-US"/>
              <a:t>South Africa Child</a:t>
            </a:r>
            <a:r>
              <a:rPr lang="en-US" baseline="0"/>
              <a:t> </a:t>
            </a:r>
            <a:r>
              <a:rPr lang="en-US"/>
              <a:t>Racial</a:t>
            </a:r>
            <a:r>
              <a:rPr lang="en-US" baseline="0"/>
              <a:t> Percentages </a:t>
            </a:r>
            <a:endParaRPr lang="en-US"/>
          </a:p>
        </c:rich>
      </c:tx>
      <c:overlay val="0"/>
    </c:title>
    <c:autoTitleDeleted val="0"/>
    <c:plotArea>
      <c:layout/>
      <c:pieChart>
        <c:varyColors val="1"/>
        <c:ser>
          <c:idx val="0"/>
          <c:order val="0"/>
          <c:tx>
            <c:strRef>
              <c:f>Sheet1!$B$1</c:f>
              <c:strCache>
                <c:ptCount val="1"/>
                <c:pt idx="0">
                  <c:v>Sales</c:v>
                </c:pt>
              </c:strCache>
            </c:strRef>
          </c:tx>
          <c:dLbls>
            <c:spPr>
              <a:noFill/>
              <a:ln>
                <a:noFill/>
              </a:ln>
              <a:effectLst/>
            </c:spPr>
            <c:txPr>
              <a:bodyPr/>
              <a:lstStyle/>
              <a:p>
                <a:pPr>
                  <a:defRPr lang="en-US"/>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Sheet1!$A$2:$A$5</c:f>
              <c:strCache>
                <c:ptCount val="4"/>
                <c:pt idx="0">
                  <c:v>Black/Africa</c:v>
                </c:pt>
                <c:pt idx="1">
                  <c:v>Coloured</c:v>
                </c:pt>
                <c:pt idx="2">
                  <c:v>Indian/Asian</c:v>
                </c:pt>
                <c:pt idx="3">
                  <c:v>White</c:v>
                </c:pt>
              </c:strCache>
            </c:strRef>
          </c:cat>
          <c:val>
            <c:numRef>
              <c:f>Sheet1!$B$2:$B$5</c:f>
              <c:numCache>
                <c:formatCode>General</c:formatCode>
                <c:ptCount val="4"/>
                <c:pt idx="0">
                  <c:v>85</c:v>
                </c:pt>
                <c:pt idx="1">
                  <c:v>8</c:v>
                </c:pt>
                <c:pt idx="2">
                  <c:v>2</c:v>
                </c:pt>
                <c:pt idx="3">
                  <c:v>5</c:v>
                </c:pt>
              </c:numCache>
            </c:numRef>
          </c:val>
          <c:extLst>
            <c:ext xmlns:c16="http://schemas.microsoft.com/office/drawing/2014/chart" uri="{C3380CC4-5D6E-409C-BE32-E72D297353CC}">
              <c16:uniqueId val="{00000000-19E0-4997-8558-13D63E3FD908}"/>
            </c:ext>
          </c:extLst>
        </c:ser>
        <c:dLbls>
          <c:showLegendKey val="0"/>
          <c:showVal val="0"/>
          <c:showCatName val="0"/>
          <c:showSerName val="0"/>
          <c:showPercent val="1"/>
          <c:showBubbleSize val="0"/>
          <c:showLeaderLines val="0"/>
        </c:dLbls>
        <c:firstSliceAng val="0"/>
      </c:pieChart>
    </c:plotArea>
    <c:legend>
      <c:legendPos val="r"/>
      <c:overlay val="0"/>
      <c:txPr>
        <a:bodyPr/>
        <a:lstStyle/>
        <a:p>
          <a:pPr>
            <a:defRPr lang="en-US"/>
          </a:pPr>
          <a:endParaRPr lang="en-US"/>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lang="en-US"/>
            </a:pPr>
            <a:r>
              <a:rPr lang="en-US"/>
              <a:t>South Africa</a:t>
            </a:r>
            <a:r>
              <a:rPr lang="en-US" baseline="0"/>
              <a:t> Spatial Distribution Patterns</a:t>
            </a:r>
            <a:endParaRPr lang="en-US"/>
          </a:p>
        </c:rich>
      </c:tx>
      <c:overlay val="0"/>
    </c:title>
    <c:autoTitleDeleted val="0"/>
    <c:plotArea>
      <c:layout/>
      <c:pieChart>
        <c:varyColors val="1"/>
        <c:ser>
          <c:idx val="0"/>
          <c:order val="0"/>
          <c:tx>
            <c:strRef>
              <c:f>Sheet1!$B$1</c:f>
              <c:strCache>
                <c:ptCount val="1"/>
                <c:pt idx="0">
                  <c:v>Sales</c:v>
                </c:pt>
              </c:strCache>
            </c:strRef>
          </c:tx>
          <c:dLbls>
            <c:spPr>
              <a:noFill/>
              <a:ln>
                <a:noFill/>
              </a:ln>
              <a:effectLst/>
            </c:spPr>
            <c:txPr>
              <a:bodyPr/>
              <a:lstStyle/>
              <a:p>
                <a:pPr>
                  <a:defRPr lang="en-US"/>
                </a:pPr>
                <a:endParaRPr lang="en-US"/>
              </a:p>
            </c:txPr>
            <c:showLegendKey val="0"/>
            <c:showVal val="0"/>
            <c:showCatName val="0"/>
            <c:showSerName val="0"/>
            <c:showPercent val="1"/>
            <c:showBubbleSize val="0"/>
            <c:showLeaderLines val="0"/>
            <c:extLst>
              <c:ext xmlns:c15="http://schemas.microsoft.com/office/drawing/2012/chart" uri="{CE6537A1-D6FC-4f65-9D91-7224C49458BB}"/>
            </c:extLst>
          </c:dLbls>
          <c:cat>
            <c:strRef>
              <c:f>Sheet1!$A$2:$A$5</c:f>
              <c:strCache>
                <c:ptCount val="4"/>
                <c:pt idx="0">
                  <c:v>Rural Formal</c:v>
                </c:pt>
                <c:pt idx="1">
                  <c:v>Rural-Traditional</c:v>
                </c:pt>
                <c:pt idx="2">
                  <c:v>Urban Formal</c:v>
                </c:pt>
                <c:pt idx="3">
                  <c:v>Urban Informal</c:v>
                </c:pt>
              </c:strCache>
            </c:strRef>
          </c:cat>
          <c:val>
            <c:numRef>
              <c:f>Sheet1!$B$2:$B$5</c:f>
              <c:numCache>
                <c:formatCode>General</c:formatCode>
                <c:ptCount val="4"/>
                <c:pt idx="0">
                  <c:v>3</c:v>
                </c:pt>
                <c:pt idx="1">
                  <c:v>41</c:v>
                </c:pt>
                <c:pt idx="2">
                  <c:v>48</c:v>
                </c:pt>
                <c:pt idx="3">
                  <c:v>8</c:v>
                </c:pt>
              </c:numCache>
            </c:numRef>
          </c:val>
          <c:extLst>
            <c:ext xmlns:c16="http://schemas.microsoft.com/office/drawing/2014/chart" uri="{C3380CC4-5D6E-409C-BE32-E72D297353CC}">
              <c16:uniqueId val="{00000000-D3AD-4658-8902-C8AFD05D33BB}"/>
            </c:ext>
          </c:extLst>
        </c:ser>
        <c:dLbls>
          <c:showLegendKey val="0"/>
          <c:showVal val="0"/>
          <c:showCatName val="0"/>
          <c:showSerName val="0"/>
          <c:showPercent val="1"/>
          <c:showBubbleSize val="0"/>
          <c:showLeaderLines val="0"/>
        </c:dLbls>
        <c:firstSliceAng val="0"/>
      </c:pieChart>
    </c:plotArea>
    <c:legend>
      <c:legendPos val="r"/>
      <c:overlay val="0"/>
      <c:txPr>
        <a:bodyPr/>
        <a:lstStyle/>
        <a:p>
          <a:pPr>
            <a:defRPr lang="en-US"/>
          </a:pPr>
          <a:endParaRPr lang="en-US"/>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xPr>
        <a:bodyPr/>
        <a:lstStyle/>
        <a:p>
          <a:pPr>
            <a:defRPr lang="en-US"/>
          </a:pPr>
          <a:endParaRPr lang="en-US"/>
        </a:p>
      </c:txPr>
    </c:title>
    <c:autoTitleDeleted val="0"/>
    <c:plotArea>
      <c:layout/>
      <c:barChart>
        <c:barDir val="col"/>
        <c:grouping val="clustered"/>
        <c:varyColors val="0"/>
        <c:ser>
          <c:idx val="0"/>
          <c:order val="0"/>
          <c:tx>
            <c:strRef>
              <c:f>Sheet1!$B$1</c:f>
              <c:strCache>
                <c:ptCount val="1"/>
                <c:pt idx="0">
                  <c:v>Percentage</c:v>
                </c:pt>
              </c:strCache>
            </c:strRef>
          </c:tx>
          <c:invertIfNegative val="0"/>
          <c:cat>
            <c:strRef>
              <c:f>Sheet1!$A$2:$A$10</c:f>
              <c:strCache>
                <c:ptCount val="9"/>
                <c:pt idx="0">
                  <c:v>KZN</c:v>
                </c:pt>
                <c:pt idx="1">
                  <c:v>Gauteng</c:v>
                </c:pt>
                <c:pt idx="2">
                  <c:v>Eastern Cape</c:v>
                </c:pt>
                <c:pt idx="3">
                  <c:v>Limpopo</c:v>
                </c:pt>
                <c:pt idx="4">
                  <c:v>Western Cape</c:v>
                </c:pt>
                <c:pt idx="5">
                  <c:v>Mpumalanga</c:v>
                </c:pt>
                <c:pt idx="6">
                  <c:v>North West</c:v>
                </c:pt>
                <c:pt idx="7">
                  <c:v>Free State</c:v>
                </c:pt>
                <c:pt idx="8">
                  <c:v>Northern Cape</c:v>
                </c:pt>
              </c:strCache>
            </c:strRef>
          </c:cat>
          <c:val>
            <c:numRef>
              <c:f>Sheet1!$B$2:$B$10</c:f>
              <c:numCache>
                <c:formatCode>General</c:formatCode>
                <c:ptCount val="9"/>
                <c:pt idx="0">
                  <c:v>2</c:v>
                </c:pt>
                <c:pt idx="1">
                  <c:v>20</c:v>
                </c:pt>
                <c:pt idx="2">
                  <c:v>14</c:v>
                </c:pt>
                <c:pt idx="3">
                  <c:v>12</c:v>
                </c:pt>
                <c:pt idx="4">
                  <c:v>10</c:v>
                </c:pt>
                <c:pt idx="5">
                  <c:v>8</c:v>
                </c:pt>
                <c:pt idx="6">
                  <c:v>7</c:v>
                </c:pt>
                <c:pt idx="7">
                  <c:v>5</c:v>
                </c:pt>
                <c:pt idx="8">
                  <c:v>2</c:v>
                </c:pt>
              </c:numCache>
            </c:numRef>
          </c:val>
          <c:extLst>
            <c:ext xmlns:c16="http://schemas.microsoft.com/office/drawing/2014/chart" uri="{C3380CC4-5D6E-409C-BE32-E72D297353CC}">
              <c16:uniqueId val="{00000000-7F96-479F-96EC-2FB9BAAA9439}"/>
            </c:ext>
          </c:extLst>
        </c:ser>
        <c:dLbls>
          <c:showLegendKey val="0"/>
          <c:showVal val="0"/>
          <c:showCatName val="0"/>
          <c:showSerName val="0"/>
          <c:showPercent val="0"/>
          <c:showBubbleSize val="0"/>
        </c:dLbls>
        <c:gapWidth val="150"/>
        <c:axId val="335815816"/>
        <c:axId val="289460856"/>
      </c:barChart>
      <c:catAx>
        <c:axId val="335815816"/>
        <c:scaling>
          <c:orientation val="minMax"/>
        </c:scaling>
        <c:delete val="0"/>
        <c:axPos val="b"/>
        <c:numFmt formatCode="General" sourceLinked="0"/>
        <c:majorTickMark val="none"/>
        <c:minorTickMark val="none"/>
        <c:tickLblPos val="nextTo"/>
        <c:txPr>
          <a:bodyPr/>
          <a:lstStyle/>
          <a:p>
            <a:pPr>
              <a:defRPr lang="en-US"/>
            </a:pPr>
            <a:endParaRPr lang="en-US"/>
          </a:p>
        </c:txPr>
        <c:crossAx val="289460856"/>
        <c:crosses val="autoZero"/>
        <c:auto val="1"/>
        <c:lblAlgn val="ctr"/>
        <c:lblOffset val="100"/>
        <c:noMultiLvlLbl val="0"/>
      </c:catAx>
      <c:valAx>
        <c:axId val="289460856"/>
        <c:scaling>
          <c:orientation val="minMax"/>
        </c:scaling>
        <c:delete val="0"/>
        <c:axPos val="l"/>
        <c:majorGridlines/>
        <c:numFmt formatCode="General" sourceLinked="1"/>
        <c:majorTickMark val="none"/>
        <c:minorTickMark val="none"/>
        <c:tickLblPos val="nextTo"/>
        <c:txPr>
          <a:bodyPr/>
          <a:lstStyle/>
          <a:p>
            <a:pPr>
              <a:defRPr lang="en-US"/>
            </a:pPr>
            <a:endParaRPr lang="en-US"/>
          </a:p>
        </c:txPr>
        <c:crossAx val="335815816"/>
        <c:crosses val="autoZero"/>
        <c:crossBetween val="between"/>
      </c:valAx>
    </c:plotArea>
    <c:legend>
      <c:legendPos val="r"/>
      <c:overlay val="0"/>
      <c:txPr>
        <a:bodyPr/>
        <a:lstStyle/>
        <a:p>
          <a:pPr>
            <a:defRPr lang="en-US"/>
          </a:pPr>
          <a:endParaRPr lang="en-US"/>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barChart>
        <c:barDir val="bar"/>
        <c:grouping val="clustered"/>
        <c:varyColors val="0"/>
        <c:ser>
          <c:idx val="0"/>
          <c:order val="0"/>
          <c:tx>
            <c:strRef>
              <c:f>Sheet1!$B$1</c:f>
              <c:strCache>
                <c:ptCount val="1"/>
                <c:pt idx="0">
                  <c:v>Percentage of Total Population</c:v>
                </c:pt>
              </c:strCache>
            </c:strRef>
          </c:tx>
          <c:invertIfNegative val="0"/>
          <c:cat>
            <c:strRef>
              <c:f>Sheet1!$A$2:$A$11</c:f>
              <c:strCache>
                <c:ptCount val="10"/>
                <c:pt idx="0">
                  <c:v>KZN</c:v>
                </c:pt>
                <c:pt idx="1">
                  <c:v>Eastern Cape</c:v>
                </c:pt>
                <c:pt idx="2">
                  <c:v>Limpopo</c:v>
                </c:pt>
                <c:pt idx="3">
                  <c:v>Mpumalanga</c:v>
                </c:pt>
                <c:pt idx="4">
                  <c:v>North West</c:v>
                </c:pt>
                <c:pt idx="5">
                  <c:v>Free State</c:v>
                </c:pt>
                <c:pt idx="6">
                  <c:v>Northern Cape</c:v>
                </c:pt>
                <c:pt idx="7">
                  <c:v>Western Cape</c:v>
                </c:pt>
                <c:pt idx="8">
                  <c:v>Gauteng</c:v>
                </c:pt>
                <c:pt idx="9">
                  <c:v>South Africa</c:v>
                </c:pt>
              </c:strCache>
            </c:strRef>
          </c:cat>
          <c:val>
            <c:numRef>
              <c:f>Sheet1!$B$2:$B$11</c:f>
              <c:numCache>
                <c:formatCode>General</c:formatCode>
                <c:ptCount val="10"/>
                <c:pt idx="0">
                  <c:v>41</c:v>
                </c:pt>
                <c:pt idx="1">
                  <c:v>41</c:v>
                </c:pt>
                <c:pt idx="2">
                  <c:v>40</c:v>
                </c:pt>
                <c:pt idx="3">
                  <c:v>38</c:v>
                </c:pt>
                <c:pt idx="4">
                  <c:v>36</c:v>
                </c:pt>
                <c:pt idx="5">
                  <c:v>34</c:v>
                </c:pt>
                <c:pt idx="6">
                  <c:v>34</c:v>
                </c:pt>
                <c:pt idx="7">
                  <c:v>31</c:v>
                </c:pt>
                <c:pt idx="8">
                  <c:v>30</c:v>
                </c:pt>
                <c:pt idx="9">
                  <c:v>36</c:v>
                </c:pt>
              </c:numCache>
            </c:numRef>
          </c:val>
          <c:extLst>
            <c:ext xmlns:c16="http://schemas.microsoft.com/office/drawing/2014/chart" uri="{C3380CC4-5D6E-409C-BE32-E72D297353CC}">
              <c16:uniqueId val="{00000000-C77B-4BEA-98CE-C2C5E25EEC89}"/>
            </c:ext>
          </c:extLst>
        </c:ser>
        <c:dLbls>
          <c:showLegendKey val="0"/>
          <c:showVal val="0"/>
          <c:showCatName val="0"/>
          <c:showSerName val="0"/>
          <c:showPercent val="0"/>
          <c:showBubbleSize val="0"/>
        </c:dLbls>
        <c:gapWidth val="300"/>
        <c:axId val="289462816"/>
        <c:axId val="328344800"/>
      </c:barChart>
      <c:catAx>
        <c:axId val="289462816"/>
        <c:scaling>
          <c:orientation val="minMax"/>
        </c:scaling>
        <c:delete val="0"/>
        <c:axPos val="l"/>
        <c:title>
          <c:tx>
            <c:rich>
              <a:bodyPr/>
              <a:lstStyle/>
              <a:p>
                <a:pPr>
                  <a:defRPr lang="en-US"/>
                </a:pPr>
                <a:r>
                  <a:rPr lang="en-US"/>
                  <a:t>Geographic</a:t>
                </a:r>
                <a:r>
                  <a:rPr lang="en-US" baseline="0"/>
                  <a:t> Location</a:t>
                </a:r>
                <a:endParaRPr lang="en-US"/>
              </a:p>
            </c:rich>
          </c:tx>
          <c:overlay val="0"/>
        </c:title>
        <c:numFmt formatCode="General" sourceLinked="0"/>
        <c:majorTickMark val="none"/>
        <c:minorTickMark val="none"/>
        <c:tickLblPos val="nextTo"/>
        <c:txPr>
          <a:bodyPr/>
          <a:lstStyle/>
          <a:p>
            <a:pPr>
              <a:defRPr lang="en-US"/>
            </a:pPr>
            <a:endParaRPr lang="en-US"/>
          </a:p>
        </c:txPr>
        <c:crossAx val="328344800"/>
        <c:crosses val="autoZero"/>
        <c:auto val="1"/>
        <c:lblAlgn val="ctr"/>
        <c:lblOffset val="100"/>
        <c:noMultiLvlLbl val="0"/>
      </c:catAx>
      <c:valAx>
        <c:axId val="328344800"/>
        <c:scaling>
          <c:orientation val="minMax"/>
        </c:scaling>
        <c:delete val="0"/>
        <c:axPos val="b"/>
        <c:majorGridlines/>
        <c:minorGridlines/>
        <c:title>
          <c:tx>
            <c:rich>
              <a:bodyPr/>
              <a:lstStyle/>
              <a:p>
                <a:pPr>
                  <a:defRPr lang="en-US"/>
                </a:pPr>
                <a:r>
                  <a:rPr lang="en-US"/>
                  <a:t>Percentage</a:t>
                </a:r>
              </a:p>
            </c:rich>
          </c:tx>
          <c:overlay val="0"/>
        </c:title>
        <c:numFmt formatCode="General" sourceLinked="1"/>
        <c:majorTickMark val="out"/>
        <c:minorTickMark val="none"/>
        <c:tickLblPos val="nextTo"/>
        <c:txPr>
          <a:bodyPr/>
          <a:lstStyle/>
          <a:p>
            <a:pPr>
              <a:defRPr lang="en-US"/>
            </a:pPr>
            <a:endParaRPr lang="en-US"/>
          </a:p>
        </c:txPr>
        <c:crossAx val="289462816"/>
        <c:crosses val="autoZero"/>
        <c:crossBetween val="between"/>
      </c:valAx>
    </c:plotArea>
    <c:legend>
      <c:legendPos val="r"/>
      <c:overlay val="0"/>
      <c:txPr>
        <a:bodyPr/>
        <a:lstStyle/>
        <a:p>
          <a:pPr>
            <a:defRPr lang="en-US"/>
          </a:pPr>
          <a:endParaRPr lang="en-US"/>
        </a:p>
      </c:txPr>
    </c:legend>
    <c:plotVisOnly val="1"/>
    <c:dispBlanksAs val="gap"/>
    <c:showDLblsOverMax val="0"/>
  </c:chart>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BD6F3CF-3E0D-4116-AE02-CC8E222E7F74}" type="doc">
      <dgm:prSet loTypeId="urn:microsoft.com/office/officeart/2005/8/layout/vList6" loCatId="process" qsTypeId="urn:microsoft.com/office/officeart/2005/8/quickstyle/simple1" qsCatId="simple" csTypeId="urn:microsoft.com/office/officeart/2005/8/colors/colorful1#1" csCatId="colorful" phldr="1"/>
      <dgm:spPr/>
      <dgm:t>
        <a:bodyPr/>
        <a:lstStyle/>
        <a:p>
          <a:endParaRPr lang="en-GB"/>
        </a:p>
      </dgm:t>
    </dgm:pt>
    <dgm:pt modelId="{587BBD13-0F4C-443E-AE94-F29D273A2409}">
      <dgm:prSet phldrT="[Text]" custT="1"/>
      <dgm:spPr/>
      <dgm:t>
        <a:bodyPr/>
        <a:lstStyle/>
        <a:p>
          <a:r>
            <a:rPr lang="en-GB" sz="2400">
              <a:latin typeface="+mj-lt"/>
            </a:rPr>
            <a:t>SA Population	</a:t>
          </a:r>
        </a:p>
      </dgm:t>
    </dgm:pt>
    <dgm:pt modelId="{2A0807A9-582F-45B6-9028-CAFF6F5E1635}" type="parTrans" cxnId="{E658C347-E397-43B5-8ABE-F453D98D1A12}">
      <dgm:prSet/>
      <dgm:spPr/>
      <dgm:t>
        <a:bodyPr/>
        <a:lstStyle/>
        <a:p>
          <a:endParaRPr lang="en-GB" sz="1600">
            <a:latin typeface="+mj-lt"/>
          </a:endParaRPr>
        </a:p>
      </dgm:t>
    </dgm:pt>
    <dgm:pt modelId="{68F6E579-EE35-4A8A-9E71-7F0E52A28FC2}" type="sibTrans" cxnId="{E658C347-E397-43B5-8ABE-F453D98D1A12}">
      <dgm:prSet/>
      <dgm:spPr/>
      <dgm:t>
        <a:bodyPr/>
        <a:lstStyle/>
        <a:p>
          <a:endParaRPr lang="en-GB" sz="1600">
            <a:latin typeface="+mj-lt"/>
          </a:endParaRPr>
        </a:p>
      </dgm:t>
    </dgm:pt>
    <dgm:pt modelId="{56C1A186-D585-485B-890B-9462168A6E9F}">
      <dgm:prSet phldrT="[Text]" custT="1"/>
      <dgm:spPr/>
      <dgm:t>
        <a:bodyPr/>
        <a:lstStyle/>
        <a:p>
          <a:r>
            <a:rPr lang="en-GB" sz="1200">
              <a:latin typeface="+mj-lt"/>
            </a:rPr>
            <a:t>Total Population-54 Million (mil)</a:t>
          </a:r>
        </a:p>
      </dgm:t>
    </dgm:pt>
    <dgm:pt modelId="{1CE6B098-88B0-45CB-AD12-6F9CEDEA782A}" type="parTrans" cxnId="{0906C220-11A5-40F6-AB25-E05FDB5CAD61}">
      <dgm:prSet/>
      <dgm:spPr/>
      <dgm:t>
        <a:bodyPr/>
        <a:lstStyle/>
        <a:p>
          <a:endParaRPr lang="en-GB" sz="1600">
            <a:latin typeface="+mj-lt"/>
          </a:endParaRPr>
        </a:p>
      </dgm:t>
    </dgm:pt>
    <dgm:pt modelId="{D6672D78-8A5D-4ED2-AC77-E94D748368A6}" type="sibTrans" cxnId="{0906C220-11A5-40F6-AB25-E05FDB5CAD61}">
      <dgm:prSet/>
      <dgm:spPr/>
      <dgm:t>
        <a:bodyPr/>
        <a:lstStyle/>
        <a:p>
          <a:endParaRPr lang="en-GB" sz="1600">
            <a:latin typeface="+mj-lt"/>
          </a:endParaRPr>
        </a:p>
      </dgm:t>
    </dgm:pt>
    <dgm:pt modelId="{1C82F014-DFB8-4F3E-B9B3-726DA0642E0C}">
      <dgm:prSet phldrT="[Text]" custT="1"/>
      <dgm:spPr/>
      <dgm:t>
        <a:bodyPr/>
        <a:lstStyle/>
        <a:p>
          <a:r>
            <a:rPr lang="en-GB" sz="1200">
              <a:latin typeface="+mj-lt"/>
            </a:rPr>
            <a:t>Male- 26 mil (49%)</a:t>
          </a:r>
        </a:p>
      </dgm:t>
    </dgm:pt>
    <dgm:pt modelId="{F4BDD4AB-44E3-43F9-8F0F-28F7D1988E42}" type="parTrans" cxnId="{A254A585-E8ED-4111-806F-667288B741DC}">
      <dgm:prSet/>
      <dgm:spPr/>
      <dgm:t>
        <a:bodyPr/>
        <a:lstStyle/>
        <a:p>
          <a:endParaRPr lang="en-GB" sz="1600">
            <a:latin typeface="+mj-lt"/>
          </a:endParaRPr>
        </a:p>
      </dgm:t>
    </dgm:pt>
    <dgm:pt modelId="{ECFB9AC5-DA0F-4CEE-950F-480401BBA0C2}" type="sibTrans" cxnId="{A254A585-E8ED-4111-806F-667288B741DC}">
      <dgm:prSet/>
      <dgm:spPr/>
      <dgm:t>
        <a:bodyPr/>
        <a:lstStyle/>
        <a:p>
          <a:endParaRPr lang="en-GB" sz="1600">
            <a:latin typeface="+mj-lt"/>
          </a:endParaRPr>
        </a:p>
      </dgm:t>
    </dgm:pt>
    <dgm:pt modelId="{3C4784B5-F903-4D43-918F-42BB5FD93559}">
      <dgm:prSet phldrT="[Text]" custT="1"/>
      <dgm:spPr/>
      <dgm:t>
        <a:bodyPr/>
        <a:lstStyle/>
        <a:p>
          <a:r>
            <a:rPr lang="en-GB" sz="2400">
              <a:latin typeface="+mj-lt"/>
            </a:rPr>
            <a:t>Age Categories</a:t>
          </a:r>
        </a:p>
      </dgm:t>
    </dgm:pt>
    <dgm:pt modelId="{FC37635C-17F5-4750-8A30-F7751D3B2C7B}" type="parTrans" cxnId="{62A8B7DB-1916-41FF-9760-0BB9ECAD3E75}">
      <dgm:prSet/>
      <dgm:spPr/>
      <dgm:t>
        <a:bodyPr/>
        <a:lstStyle/>
        <a:p>
          <a:endParaRPr lang="en-GB" sz="1600">
            <a:latin typeface="+mj-lt"/>
          </a:endParaRPr>
        </a:p>
      </dgm:t>
    </dgm:pt>
    <dgm:pt modelId="{5FF26F49-D898-4E2B-BF56-2653CBFD095D}" type="sibTrans" cxnId="{62A8B7DB-1916-41FF-9760-0BB9ECAD3E75}">
      <dgm:prSet/>
      <dgm:spPr/>
      <dgm:t>
        <a:bodyPr/>
        <a:lstStyle/>
        <a:p>
          <a:endParaRPr lang="en-GB" sz="1600">
            <a:latin typeface="+mj-lt"/>
          </a:endParaRPr>
        </a:p>
      </dgm:t>
    </dgm:pt>
    <dgm:pt modelId="{5B0659B9-8982-40B9-92EC-A27AB3012162}">
      <dgm:prSet phldrT="[Text]" custT="1"/>
      <dgm:spPr/>
      <dgm:t>
        <a:bodyPr/>
        <a:lstStyle/>
        <a:p>
          <a:r>
            <a:rPr lang="en-GB" sz="1200">
              <a:latin typeface="+mj-lt"/>
            </a:rPr>
            <a:t>Younger than 15 years - 30% of total</a:t>
          </a:r>
        </a:p>
      </dgm:t>
    </dgm:pt>
    <dgm:pt modelId="{491CE468-AA84-4421-88B4-069D8C013076}" type="parTrans" cxnId="{9131BD9F-BA01-4528-86BF-40904C780C48}">
      <dgm:prSet/>
      <dgm:spPr/>
      <dgm:t>
        <a:bodyPr/>
        <a:lstStyle/>
        <a:p>
          <a:endParaRPr lang="en-GB" sz="1600">
            <a:latin typeface="+mj-lt"/>
          </a:endParaRPr>
        </a:p>
      </dgm:t>
    </dgm:pt>
    <dgm:pt modelId="{E20473A1-DF6D-4E68-AE63-5E73D29966A7}" type="sibTrans" cxnId="{9131BD9F-BA01-4528-86BF-40904C780C48}">
      <dgm:prSet/>
      <dgm:spPr/>
      <dgm:t>
        <a:bodyPr/>
        <a:lstStyle/>
        <a:p>
          <a:endParaRPr lang="en-GB" sz="1600">
            <a:latin typeface="+mj-lt"/>
          </a:endParaRPr>
        </a:p>
      </dgm:t>
    </dgm:pt>
    <dgm:pt modelId="{1AC2EA9C-2096-41BF-BA6E-D556E7E1BD4D}">
      <dgm:prSet phldrT="[Text]" custT="1"/>
      <dgm:spPr/>
      <dgm:t>
        <a:bodyPr/>
        <a:lstStyle/>
        <a:p>
          <a:r>
            <a:rPr lang="en-GB" sz="1200">
              <a:latin typeface="+mj-lt"/>
            </a:rPr>
            <a:t>Older than 60 years - 8.4% of total</a:t>
          </a:r>
        </a:p>
      </dgm:t>
    </dgm:pt>
    <dgm:pt modelId="{E96D1763-2E1D-4807-B6D2-43E49C9DAC73}" type="parTrans" cxnId="{B85805BB-ADC1-4E46-8F7F-F07C48E1D1D8}">
      <dgm:prSet/>
      <dgm:spPr/>
      <dgm:t>
        <a:bodyPr/>
        <a:lstStyle/>
        <a:p>
          <a:endParaRPr lang="en-GB" sz="1600">
            <a:latin typeface="+mj-lt"/>
          </a:endParaRPr>
        </a:p>
      </dgm:t>
    </dgm:pt>
    <dgm:pt modelId="{F48E67C1-A40B-4B05-A2B3-BD62770C43A4}" type="sibTrans" cxnId="{B85805BB-ADC1-4E46-8F7F-F07C48E1D1D8}">
      <dgm:prSet/>
      <dgm:spPr/>
      <dgm:t>
        <a:bodyPr/>
        <a:lstStyle/>
        <a:p>
          <a:endParaRPr lang="en-GB" sz="1600">
            <a:latin typeface="+mj-lt"/>
          </a:endParaRPr>
        </a:p>
      </dgm:t>
    </dgm:pt>
    <dgm:pt modelId="{E7793AB5-D5DA-423D-B3CB-7A53DD2B525A}">
      <dgm:prSet custT="1"/>
      <dgm:spPr/>
      <dgm:t>
        <a:bodyPr/>
        <a:lstStyle/>
        <a:p>
          <a:r>
            <a:rPr lang="fr-FR" sz="2400">
              <a:latin typeface="+mj-lt"/>
            </a:rPr>
            <a:t>Provincial Distribution</a:t>
          </a:r>
          <a:endParaRPr lang="en-GB" sz="2400">
            <a:latin typeface="+mj-lt"/>
          </a:endParaRPr>
        </a:p>
      </dgm:t>
    </dgm:pt>
    <dgm:pt modelId="{D8588864-F134-4BB5-A23A-85722D2E5586}" type="parTrans" cxnId="{8FCEF4BF-B84E-45C2-9452-8BCC5BF8CFCC}">
      <dgm:prSet/>
      <dgm:spPr/>
      <dgm:t>
        <a:bodyPr/>
        <a:lstStyle/>
        <a:p>
          <a:endParaRPr lang="en-GB" sz="1600">
            <a:latin typeface="+mj-lt"/>
          </a:endParaRPr>
        </a:p>
      </dgm:t>
    </dgm:pt>
    <dgm:pt modelId="{2963DFCE-542B-444C-BD30-BD250CFB6C57}" type="sibTrans" cxnId="{8FCEF4BF-B84E-45C2-9452-8BCC5BF8CFCC}">
      <dgm:prSet/>
      <dgm:spPr/>
      <dgm:t>
        <a:bodyPr/>
        <a:lstStyle/>
        <a:p>
          <a:endParaRPr lang="en-GB" sz="1600">
            <a:latin typeface="+mj-lt"/>
          </a:endParaRPr>
        </a:p>
      </dgm:t>
    </dgm:pt>
    <dgm:pt modelId="{C1DC05D2-4137-487C-AE5B-1F7C5DF68FE3}">
      <dgm:prSet phldrT="[Text]" custT="1"/>
      <dgm:spPr/>
      <dgm:t>
        <a:bodyPr/>
        <a:lstStyle/>
        <a:p>
          <a:r>
            <a:rPr lang="en-GB" sz="1200">
              <a:latin typeface="+mj-lt"/>
            </a:rPr>
            <a:t>Female- 28 mil (51%)</a:t>
          </a:r>
        </a:p>
      </dgm:t>
    </dgm:pt>
    <dgm:pt modelId="{34F34C4E-D2A6-40C2-A7C3-37EB94CF1AB6}" type="parTrans" cxnId="{93B535E7-DF0E-46B7-86F0-5F097279BB5A}">
      <dgm:prSet/>
      <dgm:spPr/>
      <dgm:t>
        <a:bodyPr/>
        <a:lstStyle/>
        <a:p>
          <a:endParaRPr lang="en-GB" sz="1600">
            <a:latin typeface="+mj-lt"/>
          </a:endParaRPr>
        </a:p>
      </dgm:t>
    </dgm:pt>
    <dgm:pt modelId="{7C6653AC-C2D1-44B2-9D3A-D993B6D86B9D}" type="sibTrans" cxnId="{93B535E7-DF0E-46B7-86F0-5F097279BB5A}">
      <dgm:prSet/>
      <dgm:spPr/>
      <dgm:t>
        <a:bodyPr/>
        <a:lstStyle/>
        <a:p>
          <a:endParaRPr lang="en-GB" sz="1600">
            <a:latin typeface="+mj-lt"/>
          </a:endParaRPr>
        </a:p>
      </dgm:t>
    </dgm:pt>
    <dgm:pt modelId="{DB6E8DFC-3B4A-4530-8A47-3E94E46DA01A}">
      <dgm:prSet custT="1"/>
      <dgm:spPr/>
      <dgm:t>
        <a:bodyPr/>
        <a:lstStyle/>
        <a:p>
          <a:r>
            <a:rPr lang="fr-FR" sz="1200">
              <a:latin typeface="+mj-lt"/>
            </a:rPr>
            <a:t>Gauteng largest 12.9 mil (23.9%)</a:t>
          </a:r>
          <a:endParaRPr lang="en-GB" sz="1200">
            <a:latin typeface="+mj-lt"/>
          </a:endParaRPr>
        </a:p>
      </dgm:t>
    </dgm:pt>
    <dgm:pt modelId="{A877A68A-9D48-4CC6-92F5-82FE67F93A11}" type="parTrans" cxnId="{7C7CD436-21F8-4BE2-8E30-581A4AC40575}">
      <dgm:prSet/>
      <dgm:spPr/>
      <dgm:t>
        <a:bodyPr/>
        <a:lstStyle/>
        <a:p>
          <a:endParaRPr lang="en-GB" sz="1600">
            <a:latin typeface="+mj-lt"/>
          </a:endParaRPr>
        </a:p>
      </dgm:t>
    </dgm:pt>
    <dgm:pt modelId="{D740D8BB-3761-4D58-BB91-B63EA4A0F148}" type="sibTrans" cxnId="{7C7CD436-21F8-4BE2-8E30-581A4AC40575}">
      <dgm:prSet/>
      <dgm:spPr/>
      <dgm:t>
        <a:bodyPr/>
        <a:lstStyle/>
        <a:p>
          <a:endParaRPr lang="en-GB" sz="1600">
            <a:latin typeface="+mj-lt"/>
          </a:endParaRPr>
        </a:p>
      </dgm:t>
    </dgm:pt>
    <dgm:pt modelId="{38A8B2B6-D9F2-4AB7-B616-82EF19BFF277}">
      <dgm:prSet custT="1"/>
      <dgm:spPr/>
      <dgm:t>
        <a:bodyPr/>
        <a:lstStyle/>
        <a:p>
          <a:r>
            <a:rPr lang="en-GB" sz="1200">
              <a:latin typeface="+mj-lt"/>
            </a:rPr>
            <a:t>Northern Cape smallest 1.17 mil (2.2%) </a:t>
          </a:r>
          <a:r>
            <a:rPr lang="fr-FR" sz="1200">
              <a:latin typeface="+mj-lt"/>
            </a:rPr>
            <a:t> </a:t>
          </a:r>
          <a:endParaRPr lang="en-GB" sz="1200">
            <a:latin typeface="+mj-lt"/>
          </a:endParaRPr>
        </a:p>
      </dgm:t>
    </dgm:pt>
    <dgm:pt modelId="{C816DA46-8E09-48A6-9FE2-416047760FF2}" type="parTrans" cxnId="{25410573-5E3D-4A8B-AB5E-52A645A451E9}">
      <dgm:prSet/>
      <dgm:spPr/>
      <dgm:t>
        <a:bodyPr/>
        <a:lstStyle/>
        <a:p>
          <a:endParaRPr lang="en-GB" sz="1600">
            <a:latin typeface="+mj-lt"/>
          </a:endParaRPr>
        </a:p>
      </dgm:t>
    </dgm:pt>
    <dgm:pt modelId="{D9DEF5FC-2F88-4902-828A-56B23C45809B}" type="sibTrans" cxnId="{25410573-5E3D-4A8B-AB5E-52A645A451E9}">
      <dgm:prSet/>
      <dgm:spPr/>
      <dgm:t>
        <a:bodyPr/>
        <a:lstStyle/>
        <a:p>
          <a:endParaRPr lang="en-GB" sz="1600">
            <a:latin typeface="+mj-lt"/>
          </a:endParaRPr>
        </a:p>
      </dgm:t>
    </dgm:pt>
    <dgm:pt modelId="{2D535AFF-40DD-4BC1-A0B9-C180AB793677}" type="pres">
      <dgm:prSet presAssocID="{6BD6F3CF-3E0D-4116-AE02-CC8E222E7F74}" presName="Name0" presStyleCnt="0">
        <dgm:presLayoutVars>
          <dgm:dir/>
          <dgm:animLvl val="lvl"/>
          <dgm:resizeHandles/>
        </dgm:presLayoutVars>
      </dgm:prSet>
      <dgm:spPr/>
    </dgm:pt>
    <dgm:pt modelId="{7848D81C-E5A8-4049-AF99-AA828A6A6DD6}" type="pres">
      <dgm:prSet presAssocID="{587BBD13-0F4C-443E-AE94-F29D273A2409}" presName="linNode" presStyleCnt="0"/>
      <dgm:spPr/>
    </dgm:pt>
    <dgm:pt modelId="{CB22F209-0275-447C-AA1F-900CB7349972}" type="pres">
      <dgm:prSet presAssocID="{587BBD13-0F4C-443E-AE94-F29D273A2409}" presName="parentShp" presStyleLbl="node1" presStyleIdx="0" presStyleCnt="3" custLinFactNeighborX="1" custLinFactNeighborY="-2068">
        <dgm:presLayoutVars>
          <dgm:bulletEnabled val="1"/>
        </dgm:presLayoutVars>
      </dgm:prSet>
      <dgm:spPr/>
    </dgm:pt>
    <dgm:pt modelId="{587CF530-1F6F-412B-9E32-0A80284ADFBF}" type="pres">
      <dgm:prSet presAssocID="{587BBD13-0F4C-443E-AE94-F29D273A2409}" presName="childShp" presStyleLbl="bgAccFollowNode1" presStyleIdx="0" presStyleCnt="3">
        <dgm:presLayoutVars>
          <dgm:bulletEnabled val="1"/>
        </dgm:presLayoutVars>
      </dgm:prSet>
      <dgm:spPr/>
    </dgm:pt>
    <dgm:pt modelId="{320DB395-5FA2-4C06-8422-5D0087B588EA}" type="pres">
      <dgm:prSet presAssocID="{68F6E579-EE35-4A8A-9E71-7F0E52A28FC2}" presName="spacing" presStyleCnt="0"/>
      <dgm:spPr/>
    </dgm:pt>
    <dgm:pt modelId="{5D28B8E2-0867-47F7-B3F0-F66E0EF2B9E0}" type="pres">
      <dgm:prSet presAssocID="{E7793AB5-D5DA-423D-B3CB-7A53DD2B525A}" presName="linNode" presStyleCnt="0"/>
      <dgm:spPr/>
    </dgm:pt>
    <dgm:pt modelId="{83266300-5FA3-4523-AADE-8AB0A40128F7}" type="pres">
      <dgm:prSet presAssocID="{E7793AB5-D5DA-423D-B3CB-7A53DD2B525A}" presName="parentShp" presStyleLbl="node1" presStyleIdx="1" presStyleCnt="3">
        <dgm:presLayoutVars>
          <dgm:bulletEnabled val="1"/>
        </dgm:presLayoutVars>
      </dgm:prSet>
      <dgm:spPr/>
    </dgm:pt>
    <dgm:pt modelId="{1D4033E7-7DA3-4199-B266-686F9027E457}" type="pres">
      <dgm:prSet presAssocID="{E7793AB5-D5DA-423D-B3CB-7A53DD2B525A}" presName="childShp" presStyleLbl="bgAccFollowNode1" presStyleIdx="1" presStyleCnt="3" custLinFactNeighborX="55" custLinFactNeighborY="-1945">
        <dgm:presLayoutVars>
          <dgm:bulletEnabled val="1"/>
        </dgm:presLayoutVars>
      </dgm:prSet>
      <dgm:spPr/>
    </dgm:pt>
    <dgm:pt modelId="{B3E2F103-B99B-4E46-8CF3-C27A7FFA68CD}" type="pres">
      <dgm:prSet presAssocID="{2963DFCE-542B-444C-BD30-BD250CFB6C57}" presName="spacing" presStyleCnt="0"/>
      <dgm:spPr/>
    </dgm:pt>
    <dgm:pt modelId="{DF22852D-8919-4535-B0D1-58EF8815F97B}" type="pres">
      <dgm:prSet presAssocID="{3C4784B5-F903-4D43-918F-42BB5FD93559}" presName="linNode" presStyleCnt="0"/>
      <dgm:spPr/>
    </dgm:pt>
    <dgm:pt modelId="{D75326BC-2FE2-43E3-88E6-8E2F3BE74019}" type="pres">
      <dgm:prSet presAssocID="{3C4784B5-F903-4D43-918F-42BB5FD93559}" presName="parentShp" presStyleLbl="node1" presStyleIdx="2" presStyleCnt="3">
        <dgm:presLayoutVars>
          <dgm:bulletEnabled val="1"/>
        </dgm:presLayoutVars>
      </dgm:prSet>
      <dgm:spPr/>
    </dgm:pt>
    <dgm:pt modelId="{29A2B218-9A8B-4A26-96D2-3CA986C001D0}" type="pres">
      <dgm:prSet presAssocID="{3C4784B5-F903-4D43-918F-42BB5FD93559}" presName="childShp" presStyleLbl="bgAccFollowNode1" presStyleIdx="2" presStyleCnt="3" custLinFactNeighborX="-848" custLinFactNeighborY="-3102">
        <dgm:presLayoutVars>
          <dgm:bulletEnabled val="1"/>
        </dgm:presLayoutVars>
      </dgm:prSet>
      <dgm:spPr/>
    </dgm:pt>
  </dgm:ptLst>
  <dgm:cxnLst>
    <dgm:cxn modelId="{025DE400-2ED9-4F87-97CC-A97A2AB5701B}" type="presOf" srcId="{6BD6F3CF-3E0D-4116-AE02-CC8E222E7F74}" destId="{2D535AFF-40DD-4BC1-A0B9-C180AB793677}" srcOrd="0" destOrd="0" presId="urn:microsoft.com/office/officeart/2005/8/layout/vList6"/>
    <dgm:cxn modelId="{0906C220-11A5-40F6-AB25-E05FDB5CAD61}" srcId="{587BBD13-0F4C-443E-AE94-F29D273A2409}" destId="{56C1A186-D585-485B-890B-9462168A6E9F}" srcOrd="0" destOrd="0" parTransId="{1CE6B098-88B0-45CB-AD12-6F9CEDEA782A}" sibTransId="{D6672D78-8A5D-4ED2-AC77-E94D748368A6}"/>
    <dgm:cxn modelId="{3A7AE72D-15F5-489A-A6E4-56F7C102D0CC}" type="presOf" srcId="{56C1A186-D585-485B-890B-9462168A6E9F}" destId="{587CF530-1F6F-412B-9E32-0A80284ADFBF}" srcOrd="0" destOrd="0" presId="urn:microsoft.com/office/officeart/2005/8/layout/vList6"/>
    <dgm:cxn modelId="{7C7CD436-21F8-4BE2-8E30-581A4AC40575}" srcId="{E7793AB5-D5DA-423D-B3CB-7A53DD2B525A}" destId="{DB6E8DFC-3B4A-4530-8A47-3E94E46DA01A}" srcOrd="0" destOrd="0" parTransId="{A877A68A-9D48-4CC6-92F5-82FE67F93A11}" sibTransId="{D740D8BB-3761-4D58-BB91-B63EA4A0F148}"/>
    <dgm:cxn modelId="{E658C347-E397-43B5-8ABE-F453D98D1A12}" srcId="{6BD6F3CF-3E0D-4116-AE02-CC8E222E7F74}" destId="{587BBD13-0F4C-443E-AE94-F29D273A2409}" srcOrd="0" destOrd="0" parTransId="{2A0807A9-582F-45B6-9028-CAFF6F5E1635}" sibTransId="{68F6E579-EE35-4A8A-9E71-7F0E52A28FC2}"/>
    <dgm:cxn modelId="{25410573-5E3D-4A8B-AB5E-52A645A451E9}" srcId="{E7793AB5-D5DA-423D-B3CB-7A53DD2B525A}" destId="{38A8B2B6-D9F2-4AB7-B616-82EF19BFF277}" srcOrd="1" destOrd="0" parTransId="{C816DA46-8E09-48A6-9FE2-416047760FF2}" sibTransId="{D9DEF5FC-2F88-4902-828A-56B23C45809B}"/>
    <dgm:cxn modelId="{6CEF8584-685F-4BE0-A1DC-441C5C97DA3F}" type="presOf" srcId="{3C4784B5-F903-4D43-918F-42BB5FD93559}" destId="{D75326BC-2FE2-43E3-88E6-8E2F3BE74019}" srcOrd="0" destOrd="0" presId="urn:microsoft.com/office/officeart/2005/8/layout/vList6"/>
    <dgm:cxn modelId="{A254A585-E8ED-4111-806F-667288B741DC}" srcId="{587BBD13-0F4C-443E-AE94-F29D273A2409}" destId="{1C82F014-DFB8-4F3E-B9B3-726DA0642E0C}" srcOrd="2" destOrd="0" parTransId="{F4BDD4AB-44E3-43F9-8F0F-28F7D1988E42}" sibTransId="{ECFB9AC5-DA0F-4CEE-950F-480401BBA0C2}"/>
    <dgm:cxn modelId="{A9656B8E-AD76-40FD-A814-45E13BCA2CED}" type="presOf" srcId="{1AC2EA9C-2096-41BF-BA6E-D556E7E1BD4D}" destId="{29A2B218-9A8B-4A26-96D2-3CA986C001D0}" srcOrd="0" destOrd="1" presId="urn:microsoft.com/office/officeart/2005/8/layout/vList6"/>
    <dgm:cxn modelId="{46997190-1130-4D5E-8D90-86C68D32FBE5}" type="presOf" srcId="{1C82F014-DFB8-4F3E-B9B3-726DA0642E0C}" destId="{587CF530-1F6F-412B-9E32-0A80284ADFBF}" srcOrd="0" destOrd="2" presId="urn:microsoft.com/office/officeart/2005/8/layout/vList6"/>
    <dgm:cxn modelId="{37F8B992-2A13-49D7-8094-C9CDD435799F}" type="presOf" srcId="{DB6E8DFC-3B4A-4530-8A47-3E94E46DA01A}" destId="{1D4033E7-7DA3-4199-B266-686F9027E457}" srcOrd="0" destOrd="0" presId="urn:microsoft.com/office/officeart/2005/8/layout/vList6"/>
    <dgm:cxn modelId="{9131BD9F-BA01-4528-86BF-40904C780C48}" srcId="{3C4784B5-F903-4D43-918F-42BB5FD93559}" destId="{5B0659B9-8982-40B9-92EC-A27AB3012162}" srcOrd="0" destOrd="0" parTransId="{491CE468-AA84-4421-88B4-069D8C013076}" sibTransId="{E20473A1-DF6D-4E68-AE63-5E73D29966A7}"/>
    <dgm:cxn modelId="{CBBE36B1-15D2-4E98-907D-D3FBAD92755E}" type="presOf" srcId="{C1DC05D2-4137-487C-AE5B-1F7C5DF68FE3}" destId="{587CF530-1F6F-412B-9E32-0A80284ADFBF}" srcOrd="0" destOrd="1" presId="urn:microsoft.com/office/officeart/2005/8/layout/vList6"/>
    <dgm:cxn modelId="{B85805BB-ADC1-4E46-8F7F-F07C48E1D1D8}" srcId="{3C4784B5-F903-4D43-918F-42BB5FD93559}" destId="{1AC2EA9C-2096-41BF-BA6E-D556E7E1BD4D}" srcOrd="1" destOrd="0" parTransId="{E96D1763-2E1D-4807-B6D2-43E49C9DAC73}" sibTransId="{F48E67C1-A40B-4B05-A2B3-BD62770C43A4}"/>
    <dgm:cxn modelId="{8FCEF4BF-B84E-45C2-9452-8BCC5BF8CFCC}" srcId="{6BD6F3CF-3E0D-4116-AE02-CC8E222E7F74}" destId="{E7793AB5-D5DA-423D-B3CB-7A53DD2B525A}" srcOrd="1" destOrd="0" parTransId="{D8588864-F134-4BB5-A23A-85722D2E5586}" sibTransId="{2963DFCE-542B-444C-BD30-BD250CFB6C57}"/>
    <dgm:cxn modelId="{0F269BC0-261F-49CC-A185-662D40E46BE1}" type="presOf" srcId="{587BBD13-0F4C-443E-AE94-F29D273A2409}" destId="{CB22F209-0275-447C-AA1F-900CB7349972}" srcOrd="0" destOrd="0" presId="urn:microsoft.com/office/officeart/2005/8/layout/vList6"/>
    <dgm:cxn modelId="{62A8B7DB-1916-41FF-9760-0BB9ECAD3E75}" srcId="{6BD6F3CF-3E0D-4116-AE02-CC8E222E7F74}" destId="{3C4784B5-F903-4D43-918F-42BB5FD93559}" srcOrd="2" destOrd="0" parTransId="{FC37635C-17F5-4750-8A30-F7751D3B2C7B}" sibTransId="{5FF26F49-D898-4E2B-BF56-2653CBFD095D}"/>
    <dgm:cxn modelId="{93B535E7-DF0E-46B7-86F0-5F097279BB5A}" srcId="{587BBD13-0F4C-443E-AE94-F29D273A2409}" destId="{C1DC05D2-4137-487C-AE5B-1F7C5DF68FE3}" srcOrd="1" destOrd="0" parTransId="{34F34C4E-D2A6-40C2-A7C3-37EB94CF1AB6}" sibTransId="{7C6653AC-C2D1-44B2-9D3A-D993B6D86B9D}"/>
    <dgm:cxn modelId="{25542DEF-E13B-4E30-BD63-2B980D413C8F}" type="presOf" srcId="{5B0659B9-8982-40B9-92EC-A27AB3012162}" destId="{29A2B218-9A8B-4A26-96D2-3CA986C001D0}" srcOrd="0" destOrd="0" presId="urn:microsoft.com/office/officeart/2005/8/layout/vList6"/>
    <dgm:cxn modelId="{B9D466F1-1E03-4AA8-ADEB-7F0C8E591972}" type="presOf" srcId="{38A8B2B6-D9F2-4AB7-B616-82EF19BFF277}" destId="{1D4033E7-7DA3-4199-B266-686F9027E457}" srcOrd="0" destOrd="1" presId="urn:microsoft.com/office/officeart/2005/8/layout/vList6"/>
    <dgm:cxn modelId="{F3B779F9-8575-41A2-8B39-6E31DDFF65C3}" type="presOf" srcId="{E7793AB5-D5DA-423D-B3CB-7A53DD2B525A}" destId="{83266300-5FA3-4523-AADE-8AB0A40128F7}" srcOrd="0" destOrd="0" presId="urn:microsoft.com/office/officeart/2005/8/layout/vList6"/>
    <dgm:cxn modelId="{0209E373-0469-4DF2-B7E5-1E2286E03AD0}" type="presParOf" srcId="{2D535AFF-40DD-4BC1-A0B9-C180AB793677}" destId="{7848D81C-E5A8-4049-AF99-AA828A6A6DD6}" srcOrd="0" destOrd="0" presId="urn:microsoft.com/office/officeart/2005/8/layout/vList6"/>
    <dgm:cxn modelId="{0A99BEB1-74D4-4166-AB38-07306EDAA1E1}" type="presParOf" srcId="{7848D81C-E5A8-4049-AF99-AA828A6A6DD6}" destId="{CB22F209-0275-447C-AA1F-900CB7349972}" srcOrd="0" destOrd="0" presId="urn:microsoft.com/office/officeart/2005/8/layout/vList6"/>
    <dgm:cxn modelId="{CB6FCA6C-0BCB-4CC0-AE85-8E57D7A5673F}" type="presParOf" srcId="{7848D81C-E5A8-4049-AF99-AA828A6A6DD6}" destId="{587CF530-1F6F-412B-9E32-0A80284ADFBF}" srcOrd="1" destOrd="0" presId="urn:microsoft.com/office/officeart/2005/8/layout/vList6"/>
    <dgm:cxn modelId="{D9A87175-DAE4-4342-B4DB-0B828B081D63}" type="presParOf" srcId="{2D535AFF-40DD-4BC1-A0B9-C180AB793677}" destId="{320DB395-5FA2-4C06-8422-5D0087B588EA}" srcOrd="1" destOrd="0" presId="urn:microsoft.com/office/officeart/2005/8/layout/vList6"/>
    <dgm:cxn modelId="{0EA3346B-4F36-4BAF-960A-00847470AD45}" type="presParOf" srcId="{2D535AFF-40DD-4BC1-A0B9-C180AB793677}" destId="{5D28B8E2-0867-47F7-B3F0-F66E0EF2B9E0}" srcOrd="2" destOrd="0" presId="urn:microsoft.com/office/officeart/2005/8/layout/vList6"/>
    <dgm:cxn modelId="{85D1542D-C37B-49B4-A449-8FB4923FF153}" type="presParOf" srcId="{5D28B8E2-0867-47F7-B3F0-F66E0EF2B9E0}" destId="{83266300-5FA3-4523-AADE-8AB0A40128F7}" srcOrd="0" destOrd="0" presId="urn:microsoft.com/office/officeart/2005/8/layout/vList6"/>
    <dgm:cxn modelId="{AE08F0FE-91FC-4A31-B15B-A03D21771D01}" type="presParOf" srcId="{5D28B8E2-0867-47F7-B3F0-F66E0EF2B9E0}" destId="{1D4033E7-7DA3-4199-B266-686F9027E457}" srcOrd="1" destOrd="0" presId="urn:microsoft.com/office/officeart/2005/8/layout/vList6"/>
    <dgm:cxn modelId="{49475E55-ECF4-4E9A-AE7A-6D80D244C22E}" type="presParOf" srcId="{2D535AFF-40DD-4BC1-A0B9-C180AB793677}" destId="{B3E2F103-B99B-4E46-8CF3-C27A7FFA68CD}" srcOrd="3" destOrd="0" presId="urn:microsoft.com/office/officeart/2005/8/layout/vList6"/>
    <dgm:cxn modelId="{E0D89696-FE54-483E-B296-A39A4406A1C0}" type="presParOf" srcId="{2D535AFF-40DD-4BC1-A0B9-C180AB793677}" destId="{DF22852D-8919-4535-B0D1-58EF8815F97B}" srcOrd="4" destOrd="0" presId="urn:microsoft.com/office/officeart/2005/8/layout/vList6"/>
    <dgm:cxn modelId="{369078C6-2BF6-4C3F-9A1B-F3AA7F348F3E}" type="presParOf" srcId="{DF22852D-8919-4535-B0D1-58EF8815F97B}" destId="{D75326BC-2FE2-43E3-88E6-8E2F3BE74019}" srcOrd="0" destOrd="0" presId="urn:microsoft.com/office/officeart/2005/8/layout/vList6"/>
    <dgm:cxn modelId="{B810BDBF-6C5F-4B1E-9F3B-701B393E5874}" type="presParOf" srcId="{DF22852D-8919-4535-B0D1-58EF8815F97B}" destId="{29A2B218-9A8B-4A26-96D2-3CA986C001D0}" srcOrd="1" destOrd="0" presId="urn:microsoft.com/office/officeart/2005/8/layout/vList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87CF530-1F6F-412B-9E32-0A80284ADFBF}">
      <dsp:nvSpPr>
        <dsp:cNvPr id="0" name=""/>
        <dsp:cNvSpPr/>
      </dsp:nvSpPr>
      <dsp:spPr>
        <a:xfrm>
          <a:off x="2247235" y="0"/>
          <a:ext cx="3370852" cy="921087"/>
        </a:xfrm>
        <a:prstGeom prst="rightArrow">
          <a:avLst>
            <a:gd name="adj1" fmla="val 75000"/>
            <a:gd name="adj2" fmla="val 50000"/>
          </a:avLst>
        </a:prstGeom>
        <a:solidFill>
          <a:schemeClr val="accent2">
            <a:tint val="40000"/>
            <a:alpha val="90000"/>
            <a:hueOff val="0"/>
            <a:satOff val="0"/>
            <a:lumOff val="0"/>
            <a:alphaOff val="0"/>
          </a:schemeClr>
        </a:solidFill>
        <a:ln w="25400" cap="flat" cmpd="sng" algn="ctr">
          <a:solidFill>
            <a:schemeClr val="accent2">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GB" sz="1200" kern="1200">
              <a:latin typeface="+mj-lt"/>
            </a:rPr>
            <a:t>Total Population-54 Million (mil)</a:t>
          </a:r>
        </a:p>
        <a:p>
          <a:pPr marL="114300" lvl="1" indent="-114300" algn="l" defTabSz="533400">
            <a:lnSpc>
              <a:spcPct val="90000"/>
            </a:lnSpc>
            <a:spcBef>
              <a:spcPct val="0"/>
            </a:spcBef>
            <a:spcAft>
              <a:spcPct val="15000"/>
            </a:spcAft>
            <a:buChar char="•"/>
          </a:pPr>
          <a:r>
            <a:rPr lang="en-GB" sz="1200" kern="1200">
              <a:latin typeface="+mj-lt"/>
            </a:rPr>
            <a:t>Female- 28 mil (51%)</a:t>
          </a:r>
        </a:p>
        <a:p>
          <a:pPr marL="114300" lvl="1" indent="-114300" algn="l" defTabSz="533400">
            <a:lnSpc>
              <a:spcPct val="90000"/>
            </a:lnSpc>
            <a:spcBef>
              <a:spcPct val="0"/>
            </a:spcBef>
            <a:spcAft>
              <a:spcPct val="15000"/>
            </a:spcAft>
            <a:buChar char="•"/>
          </a:pPr>
          <a:r>
            <a:rPr lang="en-GB" sz="1200" kern="1200">
              <a:latin typeface="+mj-lt"/>
            </a:rPr>
            <a:t>Male- 26 mil (49%)</a:t>
          </a:r>
        </a:p>
      </dsp:txBody>
      <dsp:txXfrm>
        <a:off x="2247235" y="115136"/>
        <a:ext cx="3025444" cy="690815"/>
      </dsp:txXfrm>
    </dsp:sp>
    <dsp:sp modelId="{CB22F209-0275-447C-AA1F-900CB7349972}">
      <dsp:nvSpPr>
        <dsp:cNvPr id="0" name=""/>
        <dsp:cNvSpPr/>
      </dsp:nvSpPr>
      <dsp:spPr>
        <a:xfrm>
          <a:off x="33" y="0"/>
          <a:ext cx="2247235" cy="921087"/>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marL="0" lvl="0" indent="0" algn="ctr" defTabSz="1066800">
            <a:lnSpc>
              <a:spcPct val="90000"/>
            </a:lnSpc>
            <a:spcBef>
              <a:spcPct val="0"/>
            </a:spcBef>
            <a:spcAft>
              <a:spcPct val="35000"/>
            </a:spcAft>
            <a:buNone/>
          </a:pPr>
          <a:r>
            <a:rPr lang="en-GB" sz="2400" kern="1200">
              <a:latin typeface="+mj-lt"/>
            </a:rPr>
            <a:t>SA Population	</a:t>
          </a:r>
        </a:p>
      </dsp:txBody>
      <dsp:txXfrm>
        <a:off x="44997" y="44964"/>
        <a:ext cx="2157307" cy="831159"/>
      </dsp:txXfrm>
    </dsp:sp>
    <dsp:sp modelId="{1D4033E7-7DA3-4199-B266-686F9027E457}">
      <dsp:nvSpPr>
        <dsp:cNvPr id="0" name=""/>
        <dsp:cNvSpPr/>
      </dsp:nvSpPr>
      <dsp:spPr>
        <a:xfrm>
          <a:off x="2247235" y="995281"/>
          <a:ext cx="3370852" cy="921087"/>
        </a:xfrm>
        <a:prstGeom prst="rightArrow">
          <a:avLst>
            <a:gd name="adj1" fmla="val 75000"/>
            <a:gd name="adj2" fmla="val 50000"/>
          </a:avLst>
        </a:prstGeom>
        <a:solidFill>
          <a:schemeClr val="accent3">
            <a:tint val="40000"/>
            <a:alpha val="90000"/>
            <a:hueOff val="0"/>
            <a:satOff val="0"/>
            <a:lumOff val="0"/>
            <a:alphaOff val="0"/>
          </a:schemeClr>
        </a:solidFill>
        <a:ln w="25400" cap="flat" cmpd="sng" algn="ctr">
          <a:solidFill>
            <a:schemeClr val="accent3">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fr-FR" sz="1200" kern="1200">
              <a:latin typeface="+mj-lt"/>
            </a:rPr>
            <a:t>Gauteng largest 12.9 mil (23.9%)</a:t>
          </a:r>
          <a:endParaRPr lang="en-GB" sz="1200" kern="1200">
            <a:latin typeface="+mj-lt"/>
          </a:endParaRPr>
        </a:p>
        <a:p>
          <a:pPr marL="114300" lvl="1" indent="-114300" algn="l" defTabSz="533400">
            <a:lnSpc>
              <a:spcPct val="90000"/>
            </a:lnSpc>
            <a:spcBef>
              <a:spcPct val="0"/>
            </a:spcBef>
            <a:spcAft>
              <a:spcPct val="15000"/>
            </a:spcAft>
            <a:buChar char="•"/>
          </a:pPr>
          <a:r>
            <a:rPr lang="en-GB" sz="1200" kern="1200">
              <a:latin typeface="+mj-lt"/>
            </a:rPr>
            <a:t>Northern Cape smallest 1.17 mil (2.2%) </a:t>
          </a:r>
          <a:r>
            <a:rPr lang="fr-FR" sz="1200" kern="1200">
              <a:latin typeface="+mj-lt"/>
            </a:rPr>
            <a:t> </a:t>
          </a:r>
          <a:endParaRPr lang="en-GB" sz="1200" kern="1200">
            <a:latin typeface="+mj-lt"/>
          </a:endParaRPr>
        </a:p>
      </dsp:txBody>
      <dsp:txXfrm>
        <a:off x="2247235" y="1110417"/>
        <a:ext cx="3025444" cy="690815"/>
      </dsp:txXfrm>
    </dsp:sp>
    <dsp:sp modelId="{83266300-5FA3-4523-AADE-8AB0A40128F7}">
      <dsp:nvSpPr>
        <dsp:cNvPr id="0" name=""/>
        <dsp:cNvSpPr/>
      </dsp:nvSpPr>
      <dsp:spPr>
        <a:xfrm>
          <a:off x="0" y="1013196"/>
          <a:ext cx="2247235" cy="921087"/>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marL="0" lvl="0" indent="0" algn="ctr" defTabSz="1066800">
            <a:lnSpc>
              <a:spcPct val="90000"/>
            </a:lnSpc>
            <a:spcBef>
              <a:spcPct val="0"/>
            </a:spcBef>
            <a:spcAft>
              <a:spcPct val="35000"/>
            </a:spcAft>
            <a:buNone/>
          </a:pPr>
          <a:r>
            <a:rPr lang="fr-FR" sz="2400" kern="1200">
              <a:latin typeface="+mj-lt"/>
            </a:rPr>
            <a:t>Provincial Distribution</a:t>
          </a:r>
          <a:endParaRPr lang="en-GB" sz="2400" kern="1200">
            <a:latin typeface="+mj-lt"/>
          </a:endParaRPr>
        </a:p>
      </dsp:txBody>
      <dsp:txXfrm>
        <a:off x="44964" y="1058160"/>
        <a:ext cx="2157307" cy="831159"/>
      </dsp:txXfrm>
    </dsp:sp>
    <dsp:sp modelId="{29A2B218-9A8B-4A26-96D2-3CA986C001D0}">
      <dsp:nvSpPr>
        <dsp:cNvPr id="0" name=""/>
        <dsp:cNvSpPr/>
      </dsp:nvSpPr>
      <dsp:spPr>
        <a:xfrm>
          <a:off x="2228178" y="1997820"/>
          <a:ext cx="3370852" cy="921087"/>
        </a:xfrm>
        <a:prstGeom prst="rightArrow">
          <a:avLst>
            <a:gd name="adj1" fmla="val 75000"/>
            <a:gd name="adj2" fmla="val 50000"/>
          </a:avLst>
        </a:prstGeom>
        <a:solidFill>
          <a:schemeClr val="accent4">
            <a:tint val="40000"/>
            <a:alpha val="90000"/>
            <a:hueOff val="0"/>
            <a:satOff val="0"/>
            <a:lumOff val="0"/>
            <a:alphaOff val="0"/>
          </a:schemeClr>
        </a:solidFill>
        <a:ln w="25400" cap="flat" cmpd="sng" algn="ctr">
          <a:solidFill>
            <a:schemeClr val="accent4">
              <a:tint val="40000"/>
              <a:alpha val="9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en-GB" sz="1200" kern="1200">
              <a:latin typeface="+mj-lt"/>
            </a:rPr>
            <a:t>Younger than 15 years - 30% of total</a:t>
          </a:r>
        </a:p>
        <a:p>
          <a:pPr marL="114300" lvl="1" indent="-114300" algn="l" defTabSz="533400">
            <a:lnSpc>
              <a:spcPct val="90000"/>
            </a:lnSpc>
            <a:spcBef>
              <a:spcPct val="0"/>
            </a:spcBef>
            <a:spcAft>
              <a:spcPct val="15000"/>
            </a:spcAft>
            <a:buChar char="•"/>
          </a:pPr>
          <a:r>
            <a:rPr lang="en-GB" sz="1200" kern="1200">
              <a:latin typeface="+mj-lt"/>
            </a:rPr>
            <a:t>Older than 60 years - 8.4% of total</a:t>
          </a:r>
        </a:p>
      </dsp:txBody>
      <dsp:txXfrm>
        <a:off x="2228178" y="2112956"/>
        <a:ext cx="3025444" cy="690815"/>
      </dsp:txXfrm>
    </dsp:sp>
    <dsp:sp modelId="{D75326BC-2FE2-43E3-88E6-8E2F3BE74019}">
      <dsp:nvSpPr>
        <dsp:cNvPr id="0" name=""/>
        <dsp:cNvSpPr/>
      </dsp:nvSpPr>
      <dsp:spPr>
        <a:xfrm>
          <a:off x="0" y="2026392"/>
          <a:ext cx="2247235" cy="921087"/>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45720" rIns="91440" bIns="45720" numCol="1" spcCol="1270" anchor="ctr" anchorCtr="0">
          <a:noAutofit/>
        </a:bodyPr>
        <a:lstStyle/>
        <a:p>
          <a:pPr marL="0" lvl="0" indent="0" algn="ctr" defTabSz="1066800">
            <a:lnSpc>
              <a:spcPct val="90000"/>
            </a:lnSpc>
            <a:spcBef>
              <a:spcPct val="0"/>
            </a:spcBef>
            <a:spcAft>
              <a:spcPct val="35000"/>
            </a:spcAft>
            <a:buNone/>
          </a:pPr>
          <a:r>
            <a:rPr lang="en-GB" sz="2400" kern="1200">
              <a:latin typeface="+mj-lt"/>
            </a:rPr>
            <a:t>Age Categories</a:t>
          </a:r>
        </a:p>
      </dsp:txBody>
      <dsp:txXfrm>
        <a:off x="44964" y="2071356"/>
        <a:ext cx="2157307" cy="831159"/>
      </dsp:txXfrm>
    </dsp:sp>
  </dsp:spTree>
</dsp:drawing>
</file>

<file path=word/diagrams/layout1.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0954D4F-BDC8-44F9-8E63-6980DD67B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46</Pages>
  <Words>16644</Words>
  <Characters>94872</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111294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Berrian</dc:creator>
  <cp:keywords/>
  <dc:description/>
  <cp:lastModifiedBy>Sudi Mauti</cp:lastModifiedBy>
  <cp:revision>2</cp:revision>
  <cp:lastPrinted>2017-02-20T10:03:00Z</cp:lastPrinted>
  <dcterms:created xsi:type="dcterms:W3CDTF">2020-01-23T09:59:00Z</dcterms:created>
  <dcterms:modified xsi:type="dcterms:W3CDTF">2020-01-23T09:59:00Z</dcterms:modified>
</cp:coreProperties>
</file>